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97CF" w14:textId="0FFE8EB1" w:rsidR="00AF2DEF" w:rsidRPr="00AF2DEF" w:rsidRDefault="00AF2DEF" w:rsidP="00AF2DEF">
      <w:pPr>
        <w:pStyle w:val="Title"/>
        <w:jc w:val="center"/>
        <w:rPr>
          <w:b/>
          <w:bCs/>
          <w:color w:val="4472C4" w:themeColor="accent1"/>
          <w:sz w:val="32"/>
          <w:szCs w:val="32"/>
          <w:lang w:val="en-US"/>
        </w:rPr>
      </w:pPr>
      <w:r>
        <w:rPr>
          <w:rFonts w:ascii="Franklin Gothic Book" w:hAnsi="Franklin Gothic Book"/>
          <w:b/>
          <w:bCs/>
          <w:noProof/>
          <w:sz w:val="28"/>
          <w:szCs w:val="28"/>
          <w:lang w:val="en-US"/>
        </w:rPr>
        <w:drawing>
          <wp:inline distT="0" distB="0" distL="0" distR="0" wp14:anchorId="3817559D" wp14:editId="4C9A2B2C">
            <wp:extent cx="5731510" cy="1042035"/>
            <wp:effectExtent l="0" t="0" r="254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042035"/>
                    </a:xfrm>
                    <a:prstGeom prst="rect">
                      <a:avLst/>
                    </a:prstGeom>
                  </pic:spPr>
                </pic:pic>
              </a:graphicData>
            </a:graphic>
          </wp:inline>
        </w:drawing>
      </w:r>
      <w:r w:rsidRPr="00AF2DEF">
        <w:rPr>
          <w:b/>
          <w:bCs/>
          <w:color w:val="4472C4" w:themeColor="accent1"/>
          <w:sz w:val="32"/>
          <w:szCs w:val="32"/>
          <w:lang w:val="en-US"/>
        </w:rPr>
        <w:t xml:space="preserve"> Clerk </w:t>
      </w:r>
      <w:r w:rsidR="00E8081C" w:rsidRPr="00AF2DEF">
        <w:rPr>
          <w:b/>
          <w:bCs/>
          <w:color w:val="4472C4" w:themeColor="accent1"/>
          <w:sz w:val="32"/>
          <w:szCs w:val="32"/>
          <w:lang w:val="en-US"/>
        </w:rPr>
        <w:t>Report –</w:t>
      </w:r>
      <w:r w:rsidRPr="00AF2DEF">
        <w:rPr>
          <w:b/>
          <w:bCs/>
          <w:color w:val="4472C4" w:themeColor="accent1"/>
          <w:sz w:val="32"/>
          <w:szCs w:val="32"/>
          <w:lang w:val="en-US"/>
        </w:rPr>
        <w:t xml:space="preserve"> </w:t>
      </w:r>
      <w:r w:rsidR="009E135C">
        <w:rPr>
          <w:b/>
          <w:bCs/>
          <w:color w:val="4472C4" w:themeColor="accent1"/>
          <w:sz w:val="32"/>
          <w:szCs w:val="32"/>
          <w:lang w:val="en-US"/>
        </w:rPr>
        <w:t>Deposit Accounts</w:t>
      </w:r>
      <w:r w:rsidR="001C0FC7">
        <w:rPr>
          <w:b/>
          <w:bCs/>
          <w:color w:val="4472C4" w:themeColor="accent1"/>
          <w:sz w:val="32"/>
          <w:szCs w:val="32"/>
          <w:lang w:val="en-US"/>
        </w:rPr>
        <w:t xml:space="preserve"> April</w:t>
      </w:r>
      <w:r w:rsidR="007E7642">
        <w:rPr>
          <w:b/>
          <w:bCs/>
          <w:color w:val="4472C4" w:themeColor="accent1"/>
          <w:sz w:val="32"/>
          <w:szCs w:val="32"/>
          <w:lang w:val="en-US"/>
        </w:rPr>
        <w:t xml:space="preserve"> </w:t>
      </w:r>
      <w:r>
        <w:rPr>
          <w:b/>
          <w:bCs/>
          <w:color w:val="4472C4" w:themeColor="accent1"/>
          <w:sz w:val="32"/>
          <w:szCs w:val="32"/>
          <w:lang w:val="en-US"/>
        </w:rPr>
        <w:t>2024</w:t>
      </w:r>
    </w:p>
    <w:p w14:paraId="68DFF84F" w14:textId="3C2E9B2B" w:rsidR="0017422D" w:rsidRDefault="0017422D" w:rsidP="0017422D">
      <w:pPr>
        <w:pStyle w:val="PlainText"/>
        <w:rPr>
          <w:b/>
          <w:bCs/>
        </w:rPr>
      </w:pPr>
    </w:p>
    <w:p w14:paraId="33433626" w14:textId="77777777" w:rsidR="00AF2DEF" w:rsidRPr="005B7815" w:rsidRDefault="00AF2DEF" w:rsidP="00AF2DEF">
      <w:pPr>
        <w:pStyle w:val="Heading2"/>
        <w:rPr>
          <w:b/>
          <w:bCs/>
        </w:rPr>
      </w:pPr>
      <w:r w:rsidRPr="005B7815">
        <w:rPr>
          <w:b/>
          <w:bCs/>
        </w:rPr>
        <w:t>Council Actions Required</w:t>
      </w:r>
    </w:p>
    <w:p w14:paraId="2DF4519F" w14:textId="45D7BC29" w:rsidR="001C0FC7" w:rsidRPr="00EC1C19" w:rsidRDefault="00AF2DEF" w:rsidP="001C0FC7">
      <w:pPr>
        <w:pStyle w:val="ListParagraph"/>
        <w:numPr>
          <w:ilvl w:val="0"/>
          <w:numId w:val="2"/>
        </w:numPr>
        <w:rPr>
          <w:b/>
          <w:bCs/>
          <w:sz w:val="24"/>
          <w:szCs w:val="24"/>
          <w:lang w:val="en-US"/>
        </w:rPr>
      </w:pPr>
      <w:r w:rsidRPr="005B7815">
        <w:rPr>
          <w:sz w:val="24"/>
          <w:szCs w:val="24"/>
        </w:rPr>
        <w:t xml:space="preserve">That council </w:t>
      </w:r>
      <w:r w:rsidR="005B7815" w:rsidRPr="005B7815">
        <w:rPr>
          <w:sz w:val="24"/>
          <w:szCs w:val="24"/>
        </w:rPr>
        <w:t xml:space="preserve">considers the clerks recommendations to maximise the council interest on deposits without any risk and then determines </w:t>
      </w:r>
      <w:r w:rsidR="00454739">
        <w:rPr>
          <w:sz w:val="24"/>
          <w:szCs w:val="24"/>
        </w:rPr>
        <w:t>any further</w:t>
      </w:r>
      <w:r w:rsidR="005B7815" w:rsidRPr="005B7815">
        <w:rPr>
          <w:sz w:val="24"/>
          <w:szCs w:val="24"/>
        </w:rPr>
        <w:t xml:space="preserve"> actions </w:t>
      </w:r>
      <w:r w:rsidR="00454739">
        <w:rPr>
          <w:sz w:val="24"/>
          <w:szCs w:val="24"/>
        </w:rPr>
        <w:t>arising for investigation.</w:t>
      </w:r>
    </w:p>
    <w:p w14:paraId="6CAE691F" w14:textId="00F063FE" w:rsidR="00EC1C19" w:rsidRPr="00EC1C19" w:rsidRDefault="00EC1C19" w:rsidP="00EC1C19">
      <w:pPr>
        <w:rPr>
          <w:sz w:val="24"/>
          <w:szCs w:val="24"/>
          <w:lang w:eastAsia="en-GB"/>
        </w:rPr>
      </w:pPr>
      <w:r w:rsidRPr="00EC1C19">
        <w:rPr>
          <w:sz w:val="24"/>
          <w:szCs w:val="24"/>
          <w:lang w:eastAsia="en-GB"/>
        </w:rPr>
        <w:t xml:space="preserve">Council should note that there is strict regulation of how/where local authorities can invest their funds </w:t>
      </w:r>
      <w:r>
        <w:rPr>
          <w:sz w:val="24"/>
          <w:szCs w:val="24"/>
          <w:lang w:eastAsia="en-GB"/>
        </w:rPr>
        <w:t xml:space="preserve">Guidance </w:t>
      </w:r>
      <w:r w:rsidRPr="00EC1C19">
        <w:rPr>
          <w:sz w:val="24"/>
          <w:szCs w:val="24"/>
          <w:lang w:eastAsia="en-GB"/>
        </w:rPr>
        <w:t xml:space="preserve">is provided by government and can be found in this document </w:t>
      </w:r>
      <w:hyperlink r:id="rId11" w:history="1">
        <w:r w:rsidRPr="00EC1C19">
          <w:rPr>
            <w:rStyle w:val="Hyperlink"/>
            <w:sz w:val="24"/>
            <w:szCs w:val="24"/>
            <w:lang w:eastAsia="en-GB"/>
          </w:rPr>
          <w:t>Guidance_on_local_government_investments.pdf (publishing.service.gov.uk)</w:t>
        </w:r>
      </w:hyperlink>
    </w:p>
    <w:p w14:paraId="7C667F41" w14:textId="77777777" w:rsidR="00EC1C19" w:rsidRPr="00EC1C19" w:rsidRDefault="00EC1C19" w:rsidP="00EC1C19">
      <w:pPr>
        <w:rPr>
          <w:b/>
          <w:bCs/>
          <w:sz w:val="24"/>
          <w:szCs w:val="24"/>
          <w:lang w:val="en-US"/>
        </w:rPr>
      </w:pPr>
    </w:p>
    <w:p w14:paraId="3F1D2305" w14:textId="6F28FC12" w:rsidR="00631B29" w:rsidRDefault="00631B29" w:rsidP="00631B29">
      <w:pPr>
        <w:pStyle w:val="Heading2"/>
        <w:rPr>
          <w:b/>
          <w:bCs/>
          <w:lang w:val="en-US"/>
        </w:rPr>
      </w:pPr>
      <w:r w:rsidRPr="00631B29">
        <w:rPr>
          <w:b/>
          <w:bCs/>
          <w:lang w:val="en-US"/>
        </w:rPr>
        <w:t>Clerk Recommendation</w:t>
      </w:r>
    </w:p>
    <w:p w14:paraId="0EA23D4F" w14:textId="20C7BB4D" w:rsidR="0018489F" w:rsidRPr="0018489F" w:rsidRDefault="0018489F" w:rsidP="0018489F">
      <w:pPr>
        <w:rPr>
          <w:b/>
          <w:bCs/>
          <w:i/>
          <w:iCs/>
          <w:lang w:val="en-US" w:eastAsia="en-GB"/>
        </w:rPr>
      </w:pPr>
      <w:r w:rsidRPr="0018489F">
        <w:rPr>
          <w:b/>
          <w:bCs/>
          <w:i/>
          <w:iCs/>
          <w:lang w:val="en-US" w:eastAsia="en-GB"/>
        </w:rPr>
        <w:t>Please note that these balances and interest rates are applicable at the time of writing this report.</w:t>
      </w:r>
    </w:p>
    <w:tbl>
      <w:tblPr>
        <w:tblStyle w:val="TableGrid"/>
        <w:tblW w:w="0" w:type="auto"/>
        <w:tblLook w:val="04A0" w:firstRow="1" w:lastRow="0" w:firstColumn="1" w:lastColumn="0" w:noHBand="0" w:noVBand="1"/>
      </w:tblPr>
      <w:tblGrid>
        <w:gridCol w:w="2254"/>
        <w:gridCol w:w="1427"/>
        <w:gridCol w:w="1276"/>
        <w:gridCol w:w="4059"/>
      </w:tblGrid>
      <w:tr w:rsidR="00631B29" w:rsidRPr="00631B29" w14:paraId="2DD92037" w14:textId="77777777" w:rsidTr="00353DC8">
        <w:tc>
          <w:tcPr>
            <w:tcW w:w="2254" w:type="dxa"/>
          </w:tcPr>
          <w:p w14:paraId="063A0F5A" w14:textId="77777777" w:rsidR="00631B29" w:rsidRPr="00631B29" w:rsidRDefault="00631B29" w:rsidP="00F02ECE">
            <w:pPr>
              <w:rPr>
                <w:b/>
                <w:bCs/>
                <w:sz w:val="24"/>
                <w:szCs w:val="24"/>
                <w:lang w:eastAsia="en-GB"/>
              </w:rPr>
            </w:pPr>
            <w:r w:rsidRPr="00631B29">
              <w:rPr>
                <w:b/>
                <w:bCs/>
                <w:sz w:val="24"/>
                <w:szCs w:val="24"/>
                <w:lang w:eastAsia="en-GB"/>
              </w:rPr>
              <w:t>Existing Account</w:t>
            </w:r>
          </w:p>
        </w:tc>
        <w:tc>
          <w:tcPr>
            <w:tcW w:w="1427" w:type="dxa"/>
          </w:tcPr>
          <w:p w14:paraId="7C6B9348" w14:textId="77777777" w:rsidR="00631B29" w:rsidRPr="00631B29" w:rsidRDefault="00631B29" w:rsidP="00F02ECE">
            <w:pPr>
              <w:rPr>
                <w:b/>
                <w:bCs/>
                <w:sz w:val="24"/>
                <w:szCs w:val="24"/>
                <w:lang w:eastAsia="en-GB"/>
              </w:rPr>
            </w:pPr>
            <w:r w:rsidRPr="00631B29">
              <w:rPr>
                <w:b/>
                <w:bCs/>
                <w:sz w:val="24"/>
                <w:szCs w:val="24"/>
                <w:lang w:eastAsia="en-GB"/>
              </w:rPr>
              <w:t>Balance</w:t>
            </w:r>
          </w:p>
        </w:tc>
        <w:tc>
          <w:tcPr>
            <w:tcW w:w="1276" w:type="dxa"/>
          </w:tcPr>
          <w:p w14:paraId="45FE3C13" w14:textId="540EA448" w:rsidR="00631B29" w:rsidRPr="00631B29" w:rsidRDefault="00353DC8" w:rsidP="00F02ECE">
            <w:pPr>
              <w:rPr>
                <w:b/>
                <w:bCs/>
                <w:sz w:val="24"/>
                <w:szCs w:val="24"/>
                <w:lang w:eastAsia="en-GB"/>
              </w:rPr>
            </w:pPr>
            <w:r>
              <w:rPr>
                <w:b/>
                <w:bCs/>
                <w:sz w:val="24"/>
                <w:szCs w:val="24"/>
                <w:lang w:eastAsia="en-GB"/>
              </w:rPr>
              <w:t>Current I</w:t>
            </w:r>
            <w:r w:rsidR="00631B29" w:rsidRPr="00631B29">
              <w:rPr>
                <w:b/>
                <w:bCs/>
                <w:sz w:val="24"/>
                <w:szCs w:val="24"/>
                <w:lang w:eastAsia="en-GB"/>
              </w:rPr>
              <w:t>nterest Rate</w:t>
            </w:r>
          </w:p>
        </w:tc>
        <w:tc>
          <w:tcPr>
            <w:tcW w:w="4059" w:type="dxa"/>
          </w:tcPr>
          <w:p w14:paraId="455375C0" w14:textId="77777777" w:rsidR="00631B29" w:rsidRPr="00631B29" w:rsidRDefault="00631B29" w:rsidP="00F02ECE">
            <w:pPr>
              <w:rPr>
                <w:b/>
                <w:bCs/>
                <w:sz w:val="24"/>
                <w:szCs w:val="24"/>
                <w:lang w:eastAsia="en-GB"/>
              </w:rPr>
            </w:pPr>
            <w:r w:rsidRPr="00631B29">
              <w:rPr>
                <w:b/>
                <w:bCs/>
                <w:sz w:val="24"/>
                <w:szCs w:val="24"/>
                <w:lang w:eastAsia="en-GB"/>
              </w:rPr>
              <w:t>Suggested move</w:t>
            </w:r>
          </w:p>
        </w:tc>
      </w:tr>
      <w:tr w:rsidR="00631B29" w14:paraId="56F0B644" w14:textId="77777777" w:rsidTr="00353DC8">
        <w:tc>
          <w:tcPr>
            <w:tcW w:w="2254" w:type="dxa"/>
          </w:tcPr>
          <w:p w14:paraId="7DB5B32C" w14:textId="77777777" w:rsidR="00631B29" w:rsidRDefault="00631B29" w:rsidP="00F02ECE">
            <w:pPr>
              <w:rPr>
                <w:sz w:val="24"/>
                <w:szCs w:val="24"/>
                <w:lang w:eastAsia="en-GB"/>
              </w:rPr>
            </w:pPr>
            <w:r>
              <w:rPr>
                <w:sz w:val="24"/>
                <w:szCs w:val="24"/>
                <w:lang w:eastAsia="en-GB"/>
              </w:rPr>
              <w:t xml:space="preserve">NatWest Business Reserve </w:t>
            </w:r>
          </w:p>
        </w:tc>
        <w:tc>
          <w:tcPr>
            <w:tcW w:w="1427" w:type="dxa"/>
          </w:tcPr>
          <w:p w14:paraId="3EA78CFB" w14:textId="1731CCC5" w:rsidR="00631B29" w:rsidRDefault="00336DBC" w:rsidP="00F02ECE">
            <w:pPr>
              <w:rPr>
                <w:sz w:val="24"/>
                <w:szCs w:val="24"/>
                <w:lang w:eastAsia="en-GB"/>
              </w:rPr>
            </w:pPr>
            <w:r>
              <w:rPr>
                <w:sz w:val="24"/>
                <w:szCs w:val="24"/>
                <w:lang w:eastAsia="en-GB"/>
              </w:rPr>
              <w:t>61868.75</w:t>
            </w:r>
          </w:p>
        </w:tc>
        <w:tc>
          <w:tcPr>
            <w:tcW w:w="1276" w:type="dxa"/>
          </w:tcPr>
          <w:p w14:paraId="1243E065" w14:textId="77777777" w:rsidR="00631B29" w:rsidRDefault="00631B29" w:rsidP="00F02ECE">
            <w:pPr>
              <w:rPr>
                <w:sz w:val="24"/>
                <w:szCs w:val="24"/>
                <w:lang w:eastAsia="en-GB"/>
              </w:rPr>
            </w:pPr>
            <w:r>
              <w:rPr>
                <w:sz w:val="24"/>
                <w:szCs w:val="24"/>
                <w:lang w:eastAsia="en-GB"/>
              </w:rPr>
              <w:t>1.45%</w:t>
            </w:r>
            <w:r w:rsidR="006751D4">
              <w:rPr>
                <w:sz w:val="24"/>
                <w:szCs w:val="24"/>
                <w:lang w:eastAsia="en-GB"/>
              </w:rPr>
              <w:t xml:space="preserve"> (1.46 AER)</w:t>
            </w:r>
          </w:p>
          <w:p w14:paraId="3CD84589" w14:textId="1B4E9F29" w:rsidR="006751D4" w:rsidRDefault="006751D4" w:rsidP="00F02ECE">
            <w:pPr>
              <w:rPr>
                <w:sz w:val="24"/>
                <w:szCs w:val="24"/>
                <w:lang w:eastAsia="en-GB"/>
              </w:rPr>
            </w:pPr>
            <w:r>
              <w:rPr>
                <w:sz w:val="24"/>
                <w:szCs w:val="24"/>
                <w:lang w:eastAsia="en-GB"/>
              </w:rPr>
              <w:t>Variable Instant access, daily interest</w:t>
            </w:r>
          </w:p>
        </w:tc>
        <w:tc>
          <w:tcPr>
            <w:tcW w:w="4059" w:type="dxa"/>
          </w:tcPr>
          <w:p w14:paraId="777B3E2C" w14:textId="25B570DE" w:rsidR="00353DC8" w:rsidRPr="00353DC8" w:rsidRDefault="00353DC8" w:rsidP="00F02ECE">
            <w:pPr>
              <w:rPr>
                <w:sz w:val="24"/>
                <w:szCs w:val="24"/>
                <w:lang w:eastAsia="en-GB"/>
              </w:rPr>
            </w:pPr>
            <w:r w:rsidRPr="00353DC8">
              <w:rPr>
                <w:sz w:val="24"/>
                <w:szCs w:val="24"/>
                <w:lang w:eastAsia="en-GB"/>
              </w:rPr>
              <w:t>Use the NatWest notice accounts</w:t>
            </w:r>
          </w:p>
          <w:p w14:paraId="057B068B" w14:textId="77777777" w:rsidR="00353DC8" w:rsidRDefault="00000000" w:rsidP="00F02ECE">
            <w:pPr>
              <w:rPr>
                <w:sz w:val="24"/>
                <w:szCs w:val="24"/>
              </w:rPr>
            </w:pPr>
            <w:hyperlink r:id="rId12" w:history="1">
              <w:r w:rsidR="00353DC8" w:rsidRPr="00353DC8">
                <w:rPr>
                  <w:rStyle w:val="Hyperlink"/>
                  <w:sz w:val="24"/>
                  <w:szCs w:val="24"/>
                </w:rPr>
                <w:t>NW-Liquidity-Manager-notice-account-info-sheet.pdf</w:t>
              </w:r>
            </w:hyperlink>
          </w:p>
          <w:p w14:paraId="22E97CA4" w14:textId="77777777" w:rsidR="00353DC8" w:rsidRPr="00353DC8" w:rsidRDefault="00353DC8" w:rsidP="00F02ECE">
            <w:pPr>
              <w:rPr>
                <w:sz w:val="24"/>
                <w:szCs w:val="24"/>
              </w:rPr>
            </w:pPr>
          </w:p>
          <w:p w14:paraId="4D06F206" w14:textId="37816F88" w:rsidR="00631B29" w:rsidRPr="00353DC8" w:rsidRDefault="006751D4" w:rsidP="00F02ECE">
            <w:pPr>
              <w:rPr>
                <w:sz w:val="24"/>
                <w:szCs w:val="24"/>
                <w:lang w:eastAsia="en-GB"/>
              </w:rPr>
            </w:pPr>
            <w:r w:rsidRPr="00353DC8">
              <w:rPr>
                <w:sz w:val="24"/>
                <w:szCs w:val="24"/>
                <w:lang w:eastAsia="en-GB"/>
              </w:rPr>
              <w:t xml:space="preserve">Move </w:t>
            </w:r>
            <w:r w:rsidRPr="00353DC8">
              <w:rPr>
                <w:b/>
                <w:bCs/>
                <w:sz w:val="24"/>
                <w:szCs w:val="24"/>
                <w:lang w:eastAsia="en-GB"/>
              </w:rPr>
              <w:t>£</w:t>
            </w:r>
            <w:r w:rsidR="005B7815">
              <w:rPr>
                <w:b/>
                <w:bCs/>
                <w:sz w:val="24"/>
                <w:szCs w:val="24"/>
                <w:lang w:eastAsia="en-GB"/>
              </w:rPr>
              <w:t>3</w:t>
            </w:r>
            <w:r w:rsidRPr="00353DC8">
              <w:rPr>
                <w:b/>
                <w:bCs/>
                <w:sz w:val="24"/>
                <w:szCs w:val="24"/>
                <w:lang w:eastAsia="en-GB"/>
              </w:rPr>
              <w:t>0000</w:t>
            </w:r>
            <w:r w:rsidRPr="00353DC8">
              <w:rPr>
                <w:sz w:val="24"/>
                <w:szCs w:val="24"/>
                <w:lang w:eastAsia="en-GB"/>
              </w:rPr>
              <w:t xml:space="preserve"> to NatWest </w:t>
            </w:r>
            <w:r w:rsidRPr="00353DC8">
              <w:rPr>
                <w:b/>
                <w:bCs/>
                <w:sz w:val="24"/>
                <w:szCs w:val="24"/>
                <w:lang w:eastAsia="en-GB"/>
              </w:rPr>
              <w:t xml:space="preserve">95 Day Notice (liquidity manager) </w:t>
            </w:r>
            <w:r w:rsidRPr="00353DC8">
              <w:rPr>
                <w:sz w:val="24"/>
                <w:szCs w:val="24"/>
                <w:lang w:eastAsia="en-GB"/>
              </w:rPr>
              <w:t>account</w:t>
            </w:r>
          </w:p>
          <w:p w14:paraId="3BAE2AD6" w14:textId="77777777" w:rsidR="006751D4" w:rsidRPr="00353DC8" w:rsidRDefault="006751D4" w:rsidP="00F02ECE">
            <w:pPr>
              <w:rPr>
                <w:sz w:val="24"/>
                <w:szCs w:val="24"/>
                <w:lang w:eastAsia="en-GB"/>
              </w:rPr>
            </w:pPr>
            <w:r w:rsidRPr="00353DC8">
              <w:rPr>
                <w:sz w:val="24"/>
                <w:szCs w:val="24"/>
                <w:lang w:eastAsia="en-GB"/>
              </w:rPr>
              <w:t>Interest rate 4.17% (4.25% AER) variable</w:t>
            </w:r>
          </w:p>
          <w:p w14:paraId="0774F244" w14:textId="77777777" w:rsidR="006751D4" w:rsidRPr="00353DC8" w:rsidRDefault="00000000" w:rsidP="00F02ECE">
            <w:pPr>
              <w:rPr>
                <w:sz w:val="24"/>
                <w:szCs w:val="24"/>
              </w:rPr>
            </w:pPr>
            <w:hyperlink r:id="rId13" w:history="1">
              <w:r w:rsidR="006751D4" w:rsidRPr="00353DC8">
                <w:rPr>
                  <w:rStyle w:val="Hyperlink"/>
                  <w:sz w:val="24"/>
                  <w:szCs w:val="24"/>
                </w:rPr>
                <w:t>NW-Liquidity-Manager-Notice-Account-Info-95.pdf</w:t>
              </w:r>
            </w:hyperlink>
          </w:p>
          <w:p w14:paraId="525D74FB" w14:textId="77777777" w:rsidR="006751D4" w:rsidRPr="00353DC8" w:rsidRDefault="006751D4" w:rsidP="00F02ECE">
            <w:pPr>
              <w:rPr>
                <w:b/>
                <w:bCs/>
                <w:sz w:val="24"/>
                <w:szCs w:val="24"/>
              </w:rPr>
            </w:pPr>
            <w:r w:rsidRPr="00353DC8">
              <w:rPr>
                <w:b/>
                <w:bCs/>
                <w:sz w:val="24"/>
                <w:szCs w:val="24"/>
              </w:rPr>
              <w:t>Care: no withdrawals are permitted without notice.</w:t>
            </w:r>
          </w:p>
          <w:p w14:paraId="76308468" w14:textId="77777777" w:rsidR="006751D4" w:rsidRPr="00353DC8" w:rsidRDefault="006751D4" w:rsidP="00F02ECE">
            <w:pPr>
              <w:rPr>
                <w:b/>
                <w:bCs/>
                <w:sz w:val="24"/>
                <w:szCs w:val="24"/>
                <w:lang w:eastAsia="en-GB"/>
              </w:rPr>
            </w:pPr>
            <w:r w:rsidRPr="00353DC8">
              <w:rPr>
                <w:b/>
                <w:bCs/>
                <w:sz w:val="24"/>
                <w:szCs w:val="24"/>
                <w:lang w:eastAsia="en-GB"/>
              </w:rPr>
              <w:t>Risk should be assessed and added to financial risk assessment.</w:t>
            </w:r>
          </w:p>
          <w:p w14:paraId="2C0BE420" w14:textId="77777777" w:rsidR="00353DC8" w:rsidRPr="00353DC8" w:rsidRDefault="00353DC8" w:rsidP="00F02ECE">
            <w:pPr>
              <w:rPr>
                <w:b/>
                <w:bCs/>
                <w:sz w:val="24"/>
                <w:szCs w:val="24"/>
                <w:lang w:eastAsia="en-GB"/>
              </w:rPr>
            </w:pPr>
          </w:p>
          <w:p w14:paraId="67C5B5BB" w14:textId="61E8F022" w:rsidR="006751D4" w:rsidRPr="00353DC8" w:rsidRDefault="00353DC8" w:rsidP="00F02ECE">
            <w:pPr>
              <w:rPr>
                <w:sz w:val="24"/>
                <w:szCs w:val="24"/>
                <w:lang w:eastAsia="en-GB"/>
              </w:rPr>
            </w:pPr>
            <w:r w:rsidRPr="00353DC8">
              <w:rPr>
                <w:sz w:val="24"/>
                <w:szCs w:val="24"/>
                <w:lang w:eastAsia="en-GB"/>
              </w:rPr>
              <w:t>Move</w:t>
            </w:r>
            <w:r w:rsidRPr="00353DC8">
              <w:rPr>
                <w:b/>
                <w:bCs/>
                <w:sz w:val="24"/>
                <w:szCs w:val="24"/>
                <w:lang w:eastAsia="en-GB"/>
              </w:rPr>
              <w:t xml:space="preserve"> £20000 </w:t>
            </w:r>
            <w:r w:rsidRPr="00353DC8">
              <w:rPr>
                <w:sz w:val="24"/>
                <w:szCs w:val="24"/>
                <w:lang w:eastAsia="en-GB"/>
              </w:rPr>
              <w:t>to NatWest</w:t>
            </w:r>
            <w:r w:rsidRPr="00353DC8">
              <w:rPr>
                <w:b/>
                <w:bCs/>
                <w:sz w:val="24"/>
                <w:szCs w:val="24"/>
                <w:lang w:eastAsia="en-GB"/>
              </w:rPr>
              <w:t xml:space="preserve"> 35 Day Notice </w:t>
            </w:r>
            <w:r w:rsidRPr="00353DC8">
              <w:rPr>
                <w:sz w:val="24"/>
                <w:szCs w:val="24"/>
                <w:lang w:eastAsia="en-GB"/>
              </w:rPr>
              <w:t>account</w:t>
            </w:r>
          </w:p>
          <w:p w14:paraId="2800659C" w14:textId="77777777" w:rsidR="00353DC8" w:rsidRPr="00353DC8" w:rsidRDefault="00353DC8" w:rsidP="00353DC8">
            <w:pPr>
              <w:rPr>
                <w:b/>
                <w:bCs/>
                <w:sz w:val="24"/>
                <w:szCs w:val="24"/>
                <w:lang w:eastAsia="en-GB"/>
              </w:rPr>
            </w:pPr>
            <w:r w:rsidRPr="00353DC8">
              <w:rPr>
                <w:sz w:val="24"/>
                <w:szCs w:val="24"/>
                <w:lang w:eastAsia="en-GB"/>
              </w:rPr>
              <w:t>3.2% (3.25% AER)</w:t>
            </w:r>
            <w:r w:rsidRPr="00353DC8">
              <w:rPr>
                <w:b/>
                <w:bCs/>
                <w:sz w:val="24"/>
                <w:szCs w:val="24"/>
                <w:lang w:eastAsia="en-GB"/>
              </w:rPr>
              <w:t xml:space="preserve"> </w:t>
            </w:r>
          </w:p>
          <w:p w14:paraId="16DD4BB5" w14:textId="77777777" w:rsidR="00353DC8" w:rsidRPr="00353DC8" w:rsidRDefault="00000000" w:rsidP="00353DC8">
            <w:pPr>
              <w:rPr>
                <w:sz w:val="24"/>
                <w:szCs w:val="24"/>
              </w:rPr>
            </w:pPr>
            <w:hyperlink r:id="rId14" w:history="1">
              <w:r w:rsidR="00353DC8" w:rsidRPr="00353DC8">
                <w:rPr>
                  <w:color w:val="0000FF"/>
                  <w:sz w:val="24"/>
                  <w:szCs w:val="24"/>
                  <w:u w:val="single"/>
                </w:rPr>
                <w:t>NW-Liquidity-Manager-Notice-Account-Info-35.pdf</w:t>
              </w:r>
            </w:hyperlink>
          </w:p>
          <w:p w14:paraId="2DFDB094" w14:textId="77777777" w:rsidR="00353DC8" w:rsidRPr="00353DC8" w:rsidRDefault="00353DC8" w:rsidP="00353DC8">
            <w:pPr>
              <w:rPr>
                <w:b/>
                <w:bCs/>
                <w:sz w:val="24"/>
                <w:szCs w:val="24"/>
              </w:rPr>
            </w:pPr>
          </w:p>
          <w:p w14:paraId="5D0A54E4" w14:textId="77777777" w:rsidR="00353DC8" w:rsidRDefault="00353DC8" w:rsidP="00353DC8">
            <w:pPr>
              <w:rPr>
                <w:b/>
                <w:bCs/>
              </w:rPr>
            </w:pPr>
          </w:p>
          <w:p w14:paraId="4FF07621" w14:textId="4ECC1A24" w:rsidR="00353DC8" w:rsidRPr="006751D4" w:rsidRDefault="00353DC8" w:rsidP="00353DC8">
            <w:pPr>
              <w:rPr>
                <w:b/>
                <w:bCs/>
                <w:sz w:val="24"/>
                <w:szCs w:val="24"/>
                <w:lang w:eastAsia="en-GB"/>
              </w:rPr>
            </w:pPr>
          </w:p>
        </w:tc>
      </w:tr>
      <w:tr w:rsidR="00631B29" w14:paraId="398EAAA1" w14:textId="77777777" w:rsidTr="00353DC8">
        <w:tc>
          <w:tcPr>
            <w:tcW w:w="2254" w:type="dxa"/>
          </w:tcPr>
          <w:p w14:paraId="6B8D2638" w14:textId="77777777" w:rsidR="00631B29" w:rsidRDefault="00631B29" w:rsidP="00F02ECE">
            <w:pPr>
              <w:rPr>
                <w:sz w:val="24"/>
                <w:szCs w:val="24"/>
                <w:lang w:eastAsia="en-GB"/>
              </w:rPr>
            </w:pPr>
            <w:r>
              <w:rPr>
                <w:sz w:val="24"/>
                <w:szCs w:val="24"/>
                <w:lang w:eastAsia="en-GB"/>
              </w:rPr>
              <w:lastRenderedPageBreak/>
              <w:t>NatWest Current AC</w:t>
            </w:r>
          </w:p>
        </w:tc>
        <w:tc>
          <w:tcPr>
            <w:tcW w:w="1427" w:type="dxa"/>
          </w:tcPr>
          <w:p w14:paraId="2100122E" w14:textId="0ADD4732" w:rsidR="00631B29" w:rsidRDefault="00631B29" w:rsidP="00F02ECE">
            <w:pPr>
              <w:rPr>
                <w:sz w:val="24"/>
                <w:szCs w:val="24"/>
                <w:lang w:eastAsia="en-GB"/>
              </w:rPr>
            </w:pPr>
            <w:r>
              <w:rPr>
                <w:sz w:val="24"/>
                <w:szCs w:val="24"/>
                <w:lang w:eastAsia="en-GB"/>
              </w:rPr>
              <w:t>9642.28</w:t>
            </w:r>
          </w:p>
        </w:tc>
        <w:tc>
          <w:tcPr>
            <w:tcW w:w="1276" w:type="dxa"/>
          </w:tcPr>
          <w:p w14:paraId="1AC62E7A" w14:textId="1E7AF32B" w:rsidR="00631B29" w:rsidRDefault="006751D4" w:rsidP="00F02ECE">
            <w:pPr>
              <w:rPr>
                <w:sz w:val="24"/>
                <w:szCs w:val="24"/>
                <w:lang w:eastAsia="en-GB"/>
              </w:rPr>
            </w:pPr>
            <w:r>
              <w:rPr>
                <w:sz w:val="24"/>
                <w:szCs w:val="24"/>
                <w:lang w:eastAsia="en-GB"/>
              </w:rPr>
              <w:t>No int</w:t>
            </w:r>
          </w:p>
        </w:tc>
        <w:tc>
          <w:tcPr>
            <w:tcW w:w="4059" w:type="dxa"/>
          </w:tcPr>
          <w:p w14:paraId="3FF1C7E6" w14:textId="76D3CF26" w:rsidR="00631B29" w:rsidRDefault="006751D4" w:rsidP="00F02ECE">
            <w:pPr>
              <w:rPr>
                <w:sz w:val="24"/>
                <w:szCs w:val="24"/>
                <w:lang w:eastAsia="en-GB"/>
              </w:rPr>
            </w:pPr>
            <w:r>
              <w:rPr>
                <w:sz w:val="24"/>
                <w:szCs w:val="24"/>
                <w:lang w:eastAsia="en-GB"/>
              </w:rPr>
              <w:t>Move £9000 to NatWest Business Reserve (instant access)</w:t>
            </w:r>
            <w:r w:rsidR="007E37D1">
              <w:rPr>
                <w:sz w:val="24"/>
                <w:szCs w:val="24"/>
                <w:lang w:eastAsia="en-GB"/>
              </w:rPr>
              <w:t xml:space="preserve"> 1.</w:t>
            </w:r>
            <w:r w:rsidR="00B609AE">
              <w:rPr>
                <w:sz w:val="24"/>
                <w:szCs w:val="24"/>
                <w:lang w:eastAsia="en-GB"/>
              </w:rPr>
              <w:t>45% (1.46% AER)</w:t>
            </w:r>
          </w:p>
        </w:tc>
      </w:tr>
      <w:tr w:rsidR="00631B29" w14:paraId="0EC892CF" w14:textId="77777777" w:rsidTr="00353DC8">
        <w:tc>
          <w:tcPr>
            <w:tcW w:w="2254" w:type="dxa"/>
          </w:tcPr>
          <w:p w14:paraId="3134C7CB" w14:textId="77777777" w:rsidR="00631B29" w:rsidRDefault="00631B29" w:rsidP="00F02ECE">
            <w:pPr>
              <w:rPr>
                <w:sz w:val="24"/>
                <w:szCs w:val="24"/>
                <w:lang w:eastAsia="en-GB"/>
              </w:rPr>
            </w:pPr>
            <w:r>
              <w:rPr>
                <w:sz w:val="24"/>
                <w:szCs w:val="24"/>
                <w:lang w:eastAsia="en-GB"/>
              </w:rPr>
              <w:t>Lloyds Current Account</w:t>
            </w:r>
          </w:p>
        </w:tc>
        <w:tc>
          <w:tcPr>
            <w:tcW w:w="1427" w:type="dxa"/>
          </w:tcPr>
          <w:p w14:paraId="6174D3FE" w14:textId="76092F19" w:rsidR="00631B29" w:rsidRDefault="008133FE" w:rsidP="00F02ECE">
            <w:pPr>
              <w:rPr>
                <w:sz w:val="24"/>
                <w:szCs w:val="24"/>
                <w:lang w:eastAsia="en-GB"/>
              </w:rPr>
            </w:pPr>
            <w:r>
              <w:rPr>
                <w:sz w:val="24"/>
                <w:szCs w:val="24"/>
                <w:lang w:eastAsia="en-GB"/>
              </w:rPr>
              <w:t>786.44</w:t>
            </w:r>
          </w:p>
          <w:p w14:paraId="50E18066" w14:textId="737FBA39" w:rsidR="00631B29" w:rsidRPr="00631B29" w:rsidRDefault="00631B29" w:rsidP="00F02ECE">
            <w:pPr>
              <w:rPr>
                <w:sz w:val="20"/>
                <w:szCs w:val="20"/>
                <w:lang w:eastAsia="en-GB"/>
              </w:rPr>
            </w:pPr>
            <w:r w:rsidRPr="00631B29">
              <w:rPr>
                <w:sz w:val="20"/>
                <w:szCs w:val="20"/>
                <w:lang w:eastAsia="en-GB"/>
              </w:rPr>
              <w:t>(this will be inflated by the precept April 2024 £40k)</w:t>
            </w:r>
          </w:p>
        </w:tc>
        <w:tc>
          <w:tcPr>
            <w:tcW w:w="1276" w:type="dxa"/>
          </w:tcPr>
          <w:p w14:paraId="7607B818" w14:textId="6577EEA5" w:rsidR="00631B29" w:rsidRDefault="006751D4" w:rsidP="00F02ECE">
            <w:pPr>
              <w:rPr>
                <w:sz w:val="24"/>
                <w:szCs w:val="24"/>
                <w:lang w:eastAsia="en-GB"/>
              </w:rPr>
            </w:pPr>
            <w:r>
              <w:rPr>
                <w:sz w:val="24"/>
                <w:szCs w:val="24"/>
                <w:lang w:eastAsia="en-GB"/>
              </w:rPr>
              <w:t>No int</w:t>
            </w:r>
          </w:p>
        </w:tc>
        <w:tc>
          <w:tcPr>
            <w:tcW w:w="4059" w:type="dxa"/>
          </w:tcPr>
          <w:p w14:paraId="212E7844" w14:textId="49C0E57D" w:rsidR="00631B29" w:rsidRDefault="006751D4" w:rsidP="00F02ECE">
            <w:pPr>
              <w:rPr>
                <w:sz w:val="24"/>
                <w:szCs w:val="24"/>
                <w:lang w:eastAsia="en-GB"/>
              </w:rPr>
            </w:pPr>
            <w:r>
              <w:rPr>
                <w:sz w:val="24"/>
                <w:szCs w:val="24"/>
                <w:lang w:eastAsia="en-GB"/>
              </w:rPr>
              <w:t>Leave as is for usual planned council expenditure</w:t>
            </w:r>
          </w:p>
        </w:tc>
      </w:tr>
      <w:tr w:rsidR="00631B29" w14:paraId="460FA156" w14:textId="77777777" w:rsidTr="00353DC8">
        <w:tc>
          <w:tcPr>
            <w:tcW w:w="2254" w:type="dxa"/>
          </w:tcPr>
          <w:p w14:paraId="3FB4DB54" w14:textId="77777777" w:rsidR="00631B29" w:rsidRDefault="00631B29" w:rsidP="00F02ECE">
            <w:pPr>
              <w:rPr>
                <w:sz w:val="24"/>
                <w:szCs w:val="24"/>
                <w:lang w:eastAsia="en-GB"/>
              </w:rPr>
            </w:pPr>
            <w:r>
              <w:rPr>
                <w:sz w:val="24"/>
                <w:szCs w:val="24"/>
                <w:lang w:eastAsia="en-GB"/>
              </w:rPr>
              <w:t>Lloyds 32-day notice account</w:t>
            </w:r>
          </w:p>
        </w:tc>
        <w:tc>
          <w:tcPr>
            <w:tcW w:w="1427" w:type="dxa"/>
          </w:tcPr>
          <w:p w14:paraId="184EEDF9" w14:textId="745B9CE5" w:rsidR="00631B29" w:rsidRDefault="00631B29" w:rsidP="00F02ECE">
            <w:pPr>
              <w:rPr>
                <w:sz w:val="24"/>
                <w:szCs w:val="24"/>
                <w:lang w:eastAsia="en-GB"/>
              </w:rPr>
            </w:pPr>
            <w:r>
              <w:rPr>
                <w:sz w:val="24"/>
                <w:szCs w:val="24"/>
                <w:lang w:eastAsia="en-GB"/>
              </w:rPr>
              <w:t>22700.65</w:t>
            </w:r>
          </w:p>
        </w:tc>
        <w:tc>
          <w:tcPr>
            <w:tcW w:w="1276" w:type="dxa"/>
          </w:tcPr>
          <w:p w14:paraId="4F121BA9" w14:textId="77777777" w:rsidR="00631B29" w:rsidRDefault="00631B29" w:rsidP="00F02ECE">
            <w:pPr>
              <w:rPr>
                <w:sz w:val="24"/>
                <w:szCs w:val="24"/>
                <w:lang w:eastAsia="en-GB"/>
              </w:rPr>
            </w:pPr>
            <w:r>
              <w:rPr>
                <w:sz w:val="24"/>
                <w:szCs w:val="24"/>
                <w:lang w:eastAsia="en-GB"/>
              </w:rPr>
              <w:t>2.6%</w:t>
            </w:r>
          </w:p>
          <w:p w14:paraId="270C35BC" w14:textId="2BD97365" w:rsidR="00631B29" w:rsidRDefault="00631B29" w:rsidP="00F02ECE">
            <w:pPr>
              <w:rPr>
                <w:sz w:val="24"/>
                <w:szCs w:val="24"/>
                <w:lang w:eastAsia="en-GB"/>
              </w:rPr>
            </w:pPr>
            <w:r>
              <w:rPr>
                <w:sz w:val="24"/>
                <w:szCs w:val="24"/>
                <w:lang w:eastAsia="en-GB"/>
              </w:rPr>
              <w:t>Daily int</w:t>
            </w:r>
          </w:p>
        </w:tc>
        <w:tc>
          <w:tcPr>
            <w:tcW w:w="4059" w:type="dxa"/>
          </w:tcPr>
          <w:p w14:paraId="44073CCE" w14:textId="39778225" w:rsidR="00631B29" w:rsidRDefault="00353DC8" w:rsidP="00F02ECE">
            <w:pPr>
              <w:rPr>
                <w:sz w:val="24"/>
                <w:szCs w:val="24"/>
                <w:lang w:eastAsia="en-GB"/>
              </w:rPr>
            </w:pPr>
            <w:r>
              <w:rPr>
                <w:sz w:val="24"/>
                <w:szCs w:val="24"/>
                <w:lang w:eastAsia="en-GB"/>
              </w:rPr>
              <w:t>Move £10000 across to the Lloyds fixed term deposit account.</w:t>
            </w:r>
            <w:r w:rsidR="005B7815">
              <w:rPr>
                <w:sz w:val="24"/>
                <w:szCs w:val="24"/>
                <w:lang w:eastAsia="en-GB"/>
              </w:rPr>
              <w:t xml:space="preserve"> (council to choose term</w:t>
            </w:r>
            <w:r w:rsidR="00AD0F81">
              <w:rPr>
                <w:sz w:val="24"/>
                <w:szCs w:val="24"/>
                <w:lang w:eastAsia="en-GB"/>
              </w:rPr>
              <w:t xml:space="preserve"> from below</w:t>
            </w:r>
            <w:r w:rsidR="005B7815">
              <w:rPr>
                <w:sz w:val="24"/>
                <w:szCs w:val="24"/>
                <w:lang w:eastAsia="en-GB"/>
              </w:rPr>
              <w:t>)</w:t>
            </w:r>
          </w:p>
          <w:p w14:paraId="2613BC08" w14:textId="3CB5F2D5" w:rsidR="00353DC8" w:rsidRDefault="00353DC8" w:rsidP="00F02ECE">
            <w:pPr>
              <w:rPr>
                <w:sz w:val="24"/>
                <w:szCs w:val="24"/>
                <w:lang w:eastAsia="en-GB"/>
              </w:rPr>
            </w:pPr>
            <w:r>
              <w:rPr>
                <w:sz w:val="24"/>
                <w:szCs w:val="24"/>
                <w:lang w:eastAsia="en-GB"/>
              </w:rPr>
              <w:t>Interest rate fixed for the duration</w:t>
            </w:r>
          </w:p>
          <w:p w14:paraId="4C2DD3C7" w14:textId="1E7235E8" w:rsidR="00353DC8" w:rsidRDefault="00353DC8" w:rsidP="00F02ECE">
            <w:pPr>
              <w:rPr>
                <w:sz w:val="24"/>
                <w:szCs w:val="24"/>
                <w:lang w:eastAsia="en-GB"/>
              </w:rPr>
            </w:pPr>
            <w:r w:rsidRPr="00353DC8">
              <w:rPr>
                <w:sz w:val="24"/>
                <w:szCs w:val="24"/>
                <w:lang w:eastAsia="en-GB"/>
              </w:rPr>
              <w:t>Once deposited no additions permitted</w:t>
            </w:r>
            <w:r>
              <w:rPr>
                <w:sz w:val="24"/>
                <w:szCs w:val="24"/>
                <w:lang w:eastAsia="en-GB"/>
              </w:rPr>
              <w:t>.</w:t>
            </w:r>
          </w:p>
          <w:p w14:paraId="4ECCCEE2" w14:textId="5354D7AC" w:rsidR="00353DC8" w:rsidRPr="00353DC8" w:rsidRDefault="00353DC8" w:rsidP="00F02ECE">
            <w:pPr>
              <w:rPr>
                <w:sz w:val="24"/>
                <w:szCs w:val="24"/>
                <w:lang w:eastAsia="en-GB"/>
              </w:rPr>
            </w:pPr>
            <w:r>
              <w:rPr>
                <w:sz w:val="24"/>
                <w:szCs w:val="24"/>
                <w:lang w:eastAsia="en-GB"/>
              </w:rPr>
              <w:t>No withdrawals permitted</w:t>
            </w:r>
          </w:p>
          <w:p w14:paraId="1A7643B1" w14:textId="66A1341F" w:rsidR="00353DC8" w:rsidRPr="00353DC8" w:rsidRDefault="00000000" w:rsidP="00F02ECE">
            <w:pPr>
              <w:rPr>
                <w:sz w:val="24"/>
                <w:szCs w:val="24"/>
                <w:lang w:eastAsia="en-GB"/>
              </w:rPr>
            </w:pPr>
            <w:hyperlink r:id="rId15" w:history="1">
              <w:r w:rsidR="00353DC8" w:rsidRPr="00353DC8">
                <w:rPr>
                  <w:rStyle w:val="Hyperlink"/>
                  <w:sz w:val="24"/>
                  <w:szCs w:val="24"/>
                </w:rPr>
                <w:t>Fixed Term Deposit | Business | Lloyds Bank</w:t>
              </w:r>
            </w:hyperlink>
          </w:p>
        </w:tc>
      </w:tr>
      <w:tr w:rsidR="00353DC8" w:rsidRPr="00353DC8" w14:paraId="22242517" w14:textId="77777777" w:rsidTr="00353DC8">
        <w:tc>
          <w:tcPr>
            <w:tcW w:w="2254" w:type="dxa"/>
            <w:hideMark/>
          </w:tcPr>
          <w:p w14:paraId="25630184"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Fixed Term Deposit</w:t>
            </w:r>
          </w:p>
        </w:tc>
        <w:tc>
          <w:tcPr>
            <w:tcW w:w="1427" w:type="dxa"/>
            <w:hideMark/>
          </w:tcPr>
          <w:p w14:paraId="623DEFCE"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6 months</w:t>
            </w:r>
          </w:p>
        </w:tc>
        <w:tc>
          <w:tcPr>
            <w:tcW w:w="1276" w:type="dxa"/>
            <w:hideMark/>
          </w:tcPr>
          <w:p w14:paraId="7D259D48"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3.50%</w:t>
            </w:r>
          </w:p>
        </w:tc>
        <w:tc>
          <w:tcPr>
            <w:tcW w:w="4059" w:type="dxa"/>
            <w:hideMark/>
          </w:tcPr>
          <w:p w14:paraId="270FBF21" w14:textId="615CCFBF"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3.53% AER</w:t>
            </w:r>
          </w:p>
        </w:tc>
      </w:tr>
      <w:tr w:rsidR="00353DC8" w:rsidRPr="00353DC8" w14:paraId="6F6EC52C" w14:textId="77777777" w:rsidTr="00353DC8">
        <w:tc>
          <w:tcPr>
            <w:tcW w:w="2254" w:type="dxa"/>
            <w:hideMark/>
          </w:tcPr>
          <w:p w14:paraId="5FAF9D80"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Fixed Term Deposit</w:t>
            </w:r>
          </w:p>
        </w:tc>
        <w:tc>
          <w:tcPr>
            <w:tcW w:w="1427" w:type="dxa"/>
            <w:hideMark/>
          </w:tcPr>
          <w:p w14:paraId="6F3A0F8A"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9 months</w:t>
            </w:r>
          </w:p>
        </w:tc>
        <w:tc>
          <w:tcPr>
            <w:tcW w:w="1276" w:type="dxa"/>
            <w:hideMark/>
          </w:tcPr>
          <w:p w14:paraId="21730B62"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3.55%</w:t>
            </w:r>
          </w:p>
        </w:tc>
        <w:tc>
          <w:tcPr>
            <w:tcW w:w="4059" w:type="dxa"/>
            <w:hideMark/>
          </w:tcPr>
          <w:p w14:paraId="558877F5" w14:textId="6EA1F5B5"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3.57% AER</w:t>
            </w:r>
          </w:p>
        </w:tc>
      </w:tr>
      <w:tr w:rsidR="00353DC8" w:rsidRPr="00353DC8" w14:paraId="21305981" w14:textId="77777777" w:rsidTr="00353DC8">
        <w:tc>
          <w:tcPr>
            <w:tcW w:w="2254" w:type="dxa"/>
            <w:hideMark/>
          </w:tcPr>
          <w:p w14:paraId="078F1AA8"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Fixed Term Deposit</w:t>
            </w:r>
          </w:p>
        </w:tc>
        <w:tc>
          <w:tcPr>
            <w:tcW w:w="1427" w:type="dxa"/>
            <w:hideMark/>
          </w:tcPr>
          <w:p w14:paraId="17FE4147"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12 months</w:t>
            </w:r>
          </w:p>
        </w:tc>
        <w:tc>
          <w:tcPr>
            <w:tcW w:w="1276" w:type="dxa"/>
            <w:hideMark/>
          </w:tcPr>
          <w:p w14:paraId="101AF4A6"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3.60%</w:t>
            </w:r>
          </w:p>
        </w:tc>
        <w:tc>
          <w:tcPr>
            <w:tcW w:w="4059" w:type="dxa"/>
            <w:hideMark/>
          </w:tcPr>
          <w:p w14:paraId="75282C17" w14:textId="7AF7D921" w:rsidR="00353DC8" w:rsidRPr="00353DC8" w:rsidRDefault="00353DC8" w:rsidP="00353DC8">
            <w:pPr>
              <w:textAlignment w:val="baseline"/>
              <w:rPr>
                <w:rFonts w:eastAsia="Times New Roman" w:cstheme="minorHAnsi"/>
                <w:color w:val="333333"/>
                <w:kern w:val="0"/>
                <w:sz w:val="16"/>
                <w:szCs w:val="16"/>
                <w:lang w:eastAsia="en-GB"/>
                <w14:ligatures w14:val="none"/>
              </w:rPr>
            </w:pPr>
            <w:r w:rsidRPr="00353DC8">
              <w:rPr>
                <w:rFonts w:eastAsia="Times New Roman" w:cstheme="minorHAnsi"/>
                <w:color w:val="333333"/>
                <w:kern w:val="0"/>
                <w:sz w:val="16"/>
                <w:szCs w:val="16"/>
                <w:lang w:eastAsia="en-GB"/>
                <w14:ligatures w14:val="none"/>
              </w:rPr>
              <w:t>3.60% AER</w:t>
            </w:r>
          </w:p>
        </w:tc>
      </w:tr>
      <w:tr w:rsidR="00353DC8" w:rsidRPr="00353DC8" w14:paraId="2FEF4010" w14:textId="77777777" w:rsidTr="005B7815">
        <w:tc>
          <w:tcPr>
            <w:tcW w:w="2254" w:type="dxa"/>
            <w:shd w:val="clear" w:color="auto" w:fill="D9E2F3" w:themeFill="accent1" w:themeFillTint="33"/>
          </w:tcPr>
          <w:p w14:paraId="3587FC1A" w14:textId="02B17447" w:rsidR="00353DC8" w:rsidRPr="005B7815" w:rsidRDefault="005B7815" w:rsidP="005B7815">
            <w:pPr>
              <w:textAlignment w:val="baseline"/>
              <w:rPr>
                <w:rFonts w:eastAsia="Times New Roman" w:cstheme="minorHAnsi"/>
                <w:b/>
                <w:bCs/>
                <w:color w:val="333333"/>
                <w:kern w:val="0"/>
                <w:sz w:val="24"/>
                <w:szCs w:val="24"/>
                <w:lang w:eastAsia="en-GB"/>
                <w14:ligatures w14:val="none"/>
              </w:rPr>
            </w:pPr>
            <w:r w:rsidRPr="005B7815">
              <w:rPr>
                <w:rFonts w:eastAsia="Times New Roman" w:cstheme="minorHAnsi"/>
                <w:b/>
                <w:bCs/>
                <w:color w:val="333333"/>
                <w:kern w:val="0"/>
                <w:sz w:val="24"/>
                <w:szCs w:val="24"/>
                <w:lang w:eastAsia="en-GB"/>
                <w14:ligatures w14:val="none"/>
              </w:rPr>
              <w:t>Remaining on instant access</w:t>
            </w:r>
          </w:p>
        </w:tc>
        <w:tc>
          <w:tcPr>
            <w:tcW w:w="1427" w:type="dxa"/>
          </w:tcPr>
          <w:p w14:paraId="3CDF46DD" w14:textId="4341465E" w:rsidR="00353DC8" w:rsidRPr="005B7815" w:rsidRDefault="00353DC8" w:rsidP="00353DC8">
            <w:pPr>
              <w:textAlignment w:val="baseline"/>
              <w:rPr>
                <w:rFonts w:eastAsia="Times New Roman" w:cstheme="minorHAnsi"/>
                <w:color w:val="333333"/>
                <w:kern w:val="0"/>
                <w:sz w:val="24"/>
                <w:szCs w:val="24"/>
                <w:lang w:eastAsia="en-GB"/>
                <w14:ligatures w14:val="none"/>
              </w:rPr>
            </w:pPr>
            <w:r w:rsidRPr="005B7815">
              <w:rPr>
                <w:rFonts w:eastAsia="Times New Roman" w:cstheme="minorHAnsi"/>
                <w:color w:val="333333"/>
                <w:kern w:val="0"/>
                <w:sz w:val="24"/>
                <w:szCs w:val="24"/>
                <w:lang w:eastAsia="en-GB"/>
                <w14:ligatures w14:val="none"/>
              </w:rPr>
              <w:t xml:space="preserve">Lloyds CA </w:t>
            </w:r>
          </w:p>
        </w:tc>
        <w:tc>
          <w:tcPr>
            <w:tcW w:w="1276" w:type="dxa"/>
          </w:tcPr>
          <w:p w14:paraId="5CAE68D2" w14:textId="469D3400" w:rsidR="00353DC8" w:rsidRPr="005B7815" w:rsidRDefault="00353DC8" w:rsidP="00353DC8">
            <w:pPr>
              <w:textAlignment w:val="baseline"/>
              <w:rPr>
                <w:rFonts w:eastAsia="Times New Roman" w:cstheme="minorHAnsi"/>
                <w:color w:val="333333"/>
                <w:kern w:val="0"/>
                <w:sz w:val="24"/>
                <w:szCs w:val="24"/>
                <w:lang w:eastAsia="en-GB"/>
                <w14:ligatures w14:val="none"/>
              </w:rPr>
            </w:pPr>
            <w:r w:rsidRPr="005B7815">
              <w:rPr>
                <w:rFonts w:eastAsia="Times New Roman" w:cstheme="minorHAnsi"/>
                <w:color w:val="333333"/>
                <w:kern w:val="0"/>
                <w:sz w:val="24"/>
                <w:szCs w:val="24"/>
                <w:lang w:eastAsia="en-GB"/>
                <w14:ligatures w14:val="none"/>
              </w:rPr>
              <w:t>£</w:t>
            </w:r>
            <w:r w:rsidR="007F20B2">
              <w:rPr>
                <w:rFonts w:eastAsia="Times New Roman" w:cstheme="minorHAnsi"/>
                <w:color w:val="333333"/>
                <w:kern w:val="0"/>
                <w:sz w:val="24"/>
                <w:szCs w:val="24"/>
                <w:lang w:eastAsia="en-GB"/>
                <w14:ligatures w14:val="none"/>
              </w:rPr>
              <w:t>40000</w:t>
            </w:r>
          </w:p>
        </w:tc>
        <w:tc>
          <w:tcPr>
            <w:tcW w:w="4059" w:type="dxa"/>
          </w:tcPr>
          <w:p w14:paraId="29F826A5" w14:textId="31609C95" w:rsidR="00353DC8" w:rsidRPr="005B7815" w:rsidRDefault="005B7815" w:rsidP="00353DC8">
            <w:pPr>
              <w:textAlignment w:val="baseline"/>
              <w:rPr>
                <w:rFonts w:eastAsia="Times New Roman" w:cstheme="minorHAnsi"/>
                <w:color w:val="333333"/>
                <w:kern w:val="0"/>
                <w:sz w:val="24"/>
                <w:szCs w:val="24"/>
                <w:lang w:eastAsia="en-GB"/>
                <w14:ligatures w14:val="none"/>
              </w:rPr>
            </w:pPr>
            <w:r w:rsidRPr="005B7815">
              <w:rPr>
                <w:rFonts w:eastAsia="Times New Roman" w:cstheme="minorHAnsi"/>
                <w:color w:val="333333"/>
                <w:kern w:val="0"/>
                <w:sz w:val="24"/>
                <w:szCs w:val="24"/>
                <w:lang w:eastAsia="en-GB"/>
                <w14:ligatures w14:val="none"/>
              </w:rPr>
              <w:t>This should cover all budgeted expenditure for the year.</w:t>
            </w:r>
          </w:p>
        </w:tc>
      </w:tr>
      <w:tr w:rsidR="00353DC8" w:rsidRPr="00353DC8" w14:paraId="486D452F" w14:textId="77777777" w:rsidTr="00353DC8">
        <w:tc>
          <w:tcPr>
            <w:tcW w:w="2254" w:type="dxa"/>
          </w:tcPr>
          <w:p w14:paraId="285EE7CA" w14:textId="77777777" w:rsidR="00353DC8" w:rsidRPr="005B7815" w:rsidRDefault="00353DC8" w:rsidP="00353DC8">
            <w:pPr>
              <w:textAlignment w:val="baseline"/>
              <w:rPr>
                <w:rFonts w:eastAsia="Times New Roman" w:cstheme="minorHAnsi"/>
                <w:color w:val="333333"/>
                <w:kern w:val="0"/>
                <w:sz w:val="24"/>
                <w:szCs w:val="24"/>
                <w:lang w:eastAsia="en-GB"/>
                <w14:ligatures w14:val="none"/>
              </w:rPr>
            </w:pPr>
          </w:p>
        </w:tc>
        <w:tc>
          <w:tcPr>
            <w:tcW w:w="1427" w:type="dxa"/>
          </w:tcPr>
          <w:p w14:paraId="5BEEE62E" w14:textId="704C0886" w:rsidR="00353DC8" w:rsidRPr="005B7815" w:rsidRDefault="005B7815" w:rsidP="00353DC8">
            <w:pPr>
              <w:textAlignment w:val="baseline"/>
              <w:rPr>
                <w:rFonts w:eastAsia="Times New Roman" w:cstheme="minorHAnsi"/>
                <w:color w:val="333333"/>
                <w:kern w:val="0"/>
                <w:sz w:val="24"/>
                <w:szCs w:val="24"/>
                <w:lang w:eastAsia="en-GB"/>
                <w14:ligatures w14:val="none"/>
              </w:rPr>
            </w:pPr>
            <w:r w:rsidRPr="005B7815">
              <w:rPr>
                <w:rFonts w:eastAsia="Times New Roman" w:cstheme="minorHAnsi"/>
                <w:color w:val="333333"/>
                <w:kern w:val="0"/>
                <w:sz w:val="24"/>
                <w:szCs w:val="24"/>
                <w:lang w:eastAsia="en-GB"/>
                <w14:ligatures w14:val="none"/>
              </w:rPr>
              <w:t>NatWest</w:t>
            </w:r>
            <w:r w:rsidR="00353DC8" w:rsidRPr="005B7815">
              <w:rPr>
                <w:rFonts w:eastAsia="Times New Roman" w:cstheme="minorHAnsi"/>
                <w:color w:val="333333"/>
                <w:kern w:val="0"/>
                <w:sz w:val="24"/>
                <w:szCs w:val="24"/>
                <w:lang w:eastAsia="en-GB"/>
                <w14:ligatures w14:val="none"/>
              </w:rPr>
              <w:t xml:space="preserve"> CA</w:t>
            </w:r>
          </w:p>
        </w:tc>
        <w:tc>
          <w:tcPr>
            <w:tcW w:w="1276" w:type="dxa"/>
          </w:tcPr>
          <w:p w14:paraId="77015C95" w14:textId="1F02DEB1" w:rsidR="00353DC8" w:rsidRPr="005B7815" w:rsidRDefault="005B7815" w:rsidP="00353DC8">
            <w:pPr>
              <w:textAlignment w:val="baseline"/>
              <w:rPr>
                <w:rFonts w:eastAsia="Times New Roman" w:cstheme="minorHAnsi"/>
                <w:color w:val="333333"/>
                <w:kern w:val="0"/>
                <w:sz w:val="24"/>
                <w:szCs w:val="24"/>
                <w:lang w:eastAsia="en-GB"/>
                <w14:ligatures w14:val="none"/>
              </w:rPr>
            </w:pPr>
            <w:r w:rsidRPr="005B7815">
              <w:rPr>
                <w:rFonts w:eastAsia="Times New Roman" w:cstheme="minorHAnsi"/>
                <w:color w:val="333333"/>
                <w:kern w:val="0"/>
                <w:sz w:val="24"/>
                <w:szCs w:val="24"/>
                <w:lang w:eastAsia="en-GB"/>
                <w14:ligatures w14:val="none"/>
              </w:rPr>
              <w:t>£642 (topped up by VAT reclaims</w:t>
            </w:r>
            <w:r>
              <w:rPr>
                <w:rFonts w:eastAsia="Times New Roman" w:cstheme="minorHAnsi"/>
                <w:color w:val="333333"/>
                <w:kern w:val="0"/>
                <w:sz w:val="24"/>
                <w:szCs w:val="24"/>
                <w:lang w:eastAsia="en-GB"/>
                <w14:ligatures w14:val="none"/>
              </w:rPr>
              <w:t xml:space="preserve"> quarterly</w:t>
            </w:r>
            <w:r w:rsidRPr="005B7815">
              <w:rPr>
                <w:rFonts w:eastAsia="Times New Roman" w:cstheme="minorHAnsi"/>
                <w:color w:val="333333"/>
                <w:kern w:val="0"/>
                <w:sz w:val="24"/>
                <w:szCs w:val="24"/>
                <w:lang w:eastAsia="en-GB"/>
                <w14:ligatures w14:val="none"/>
              </w:rPr>
              <w:t>)</w:t>
            </w:r>
          </w:p>
        </w:tc>
        <w:tc>
          <w:tcPr>
            <w:tcW w:w="4059" w:type="dxa"/>
          </w:tcPr>
          <w:p w14:paraId="0A49B339" w14:textId="77777777" w:rsidR="00353DC8" w:rsidRPr="00353DC8" w:rsidRDefault="00353DC8" w:rsidP="00353DC8">
            <w:pPr>
              <w:textAlignment w:val="baseline"/>
              <w:rPr>
                <w:rFonts w:eastAsia="Times New Roman" w:cstheme="minorHAnsi"/>
                <w:color w:val="333333"/>
                <w:kern w:val="0"/>
                <w:sz w:val="16"/>
                <w:szCs w:val="16"/>
                <w:lang w:eastAsia="en-GB"/>
                <w14:ligatures w14:val="none"/>
              </w:rPr>
            </w:pPr>
          </w:p>
        </w:tc>
      </w:tr>
      <w:tr w:rsidR="005B7815" w:rsidRPr="00353DC8" w14:paraId="5C71145D" w14:textId="77777777" w:rsidTr="00353DC8">
        <w:tc>
          <w:tcPr>
            <w:tcW w:w="2254" w:type="dxa"/>
          </w:tcPr>
          <w:p w14:paraId="590DA23D" w14:textId="77777777" w:rsidR="005B7815" w:rsidRPr="005B7815" w:rsidRDefault="005B7815" w:rsidP="00353DC8">
            <w:pPr>
              <w:textAlignment w:val="baseline"/>
              <w:rPr>
                <w:rFonts w:eastAsia="Times New Roman" w:cstheme="minorHAnsi"/>
                <w:color w:val="333333"/>
                <w:kern w:val="0"/>
                <w:sz w:val="24"/>
                <w:szCs w:val="24"/>
                <w:lang w:eastAsia="en-GB"/>
                <w14:ligatures w14:val="none"/>
              </w:rPr>
            </w:pPr>
          </w:p>
        </w:tc>
        <w:tc>
          <w:tcPr>
            <w:tcW w:w="1427" w:type="dxa"/>
          </w:tcPr>
          <w:p w14:paraId="7B15F2E6" w14:textId="7DD88759" w:rsidR="005B7815" w:rsidRPr="005B7815" w:rsidRDefault="005B7815" w:rsidP="00353DC8">
            <w:pPr>
              <w:textAlignment w:val="baseline"/>
              <w:rPr>
                <w:rFonts w:eastAsia="Times New Roman" w:cstheme="minorHAnsi"/>
                <w:color w:val="333333"/>
                <w:kern w:val="0"/>
                <w:sz w:val="24"/>
                <w:szCs w:val="24"/>
                <w:lang w:eastAsia="en-GB"/>
                <w14:ligatures w14:val="none"/>
              </w:rPr>
            </w:pPr>
            <w:r w:rsidRPr="005B7815">
              <w:rPr>
                <w:rFonts w:eastAsia="Times New Roman" w:cstheme="minorHAnsi"/>
                <w:color w:val="333333"/>
                <w:kern w:val="0"/>
                <w:sz w:val="24"/>
                <w:szCs w:val="24"/>
                <w:lang w:eastAsia="en-GB"/>
                <w14:ligatures w14:val="none"/>
              </w:rPr>
              <w:t>NatWest BR</w:t>
            </w:r>
          </w:p>
        </w:tc>
        <w:tc>
          <w:tcPr>
            <w:tcW w:w="1276" w:type="dxa"/>
          </w:tcPr>
          <w:p w14:paraId="141448E2" w14:textId="47F788FF" w:rsidR="005B7815" w:rsidRPr="005B7815" w:rsidRDefault="005B7815" w:rsidP="00353DC8">
            <w:pPr>
              <w:textAlignment w:val="baseline"/>
              <w:rPr>
                <w:rFonts w:eastAsia="Times New Roman" w:cstheme="minorHAnsi"/>
                <w:color w:val="333333"/>
                <w:kern w:val="0"/>
                <w:sz w:val="24"/>
                <w:szCs w:val="24"/>
                <w:lang w:eastAsia="en-GB"/>
                <w14:ligatures w14:val="none"/>
              </w:rPr>
            </w:pPr>
            <w:r w:rsidRPr="005B7815">
              <w:rPr>
                <w:rFonts w:eastAsia="Times New Roman" w:cstheme="minorHAnsi"/>
                <w:color w:val="333333"/>
                <w:kern w:val="0"/>
                <w:sz w:val="24"/>
                <w:szCs w:val="24"/>
                <w:lang w:eastAsia="en-GB"/>
                <w14:ligatures w14:val="none"/>
              </w:rPr>
              <w:t>£11000</w:t>
            </w:r>
          </w:p>
        </w:tc>
        <w:tc>
          <w:tcPr>
            <w:tcW w:w="4059" w:type="dxa"/>
          </w:tcPr>
          <w:p w14:paraId="693CCC28" w14:textId="77777777" w:rsidR="005B7815" w:rsidRPr="00353DC8" w:rsidRDefault="005B7815" w:rsidP="00353DC8">
            <w:pPr>
              <w:textAlignment w:val="baseline"/>
              <w:rPr>
                <w:rFonts w:eastAsia="Times New Roman" w:cstheme="minorHAnsi"/>
                <w:color w:val="333333"/>
                <w:kern w:val="0"/>
                <w:sz w:val="16"/>
                <w:szCs w:val="16"/>
                <w:lang w:eastAsia="en-GB"/>
                <w14:ligatures w14:val="none"/>
              </w:rPr>
            </w:pPr>
          </w:p>
        </w:tc>
      </w:tr>
    </w:tbl>
    <w:p w14:paraId="5001A219" w14:textId="77777777" w:rsidR="00631B29" w:rsidRPr="00631B29" w:rsidRDefault="00631B29" w:rsidP="00631B29">
      <w:pPr>
        <w:rPr>
          <w:b/>
          <w:bCs/>
          <w:sz w:val="24"/>
          <w:szCs w:val="24"/>
          <w:lang w:val="en-US"/>
        </w:rPr>
      </w:pPr>
    </w:p>
    <w:p w14:paraId="51FFBD5B" w14:textId="03FFE8E6" w:rsidR="00AF2DEF" w:rsidRPr="00BE156C" w:rsidRDefault="00AF2DEF" w:rsidP="00BE156C">
      <w:pPr>
        <w:pStyle w:val="Heading2"/>
        <w:rPr>
          <w:b/>
          <w:bCs/>
          <w:lang w:val="en-US"/>
        </w:rPr>
      </w:pPr>
      <w:r w:rsidRPr="00BE156C">
        <w:rPr>
          <w:b/>
          <w:bCs/>
          <w:lang w:val="en-US"/>
        </w:rPr>
        <w:t>Background</w:t>
      </w:r>
    </w:p>
    <w:p w14:paraId="15DDE180" w14:textId="44311CB0" w:rsidR="00215CFC" w:rsidRDefault="00215CFC" w:rsidP="00215CFC">
      <w:pPr>
        <w:pStyle w:val="xxmsonormal"/>
      </w:pPr>
      <w:r>
        <w:rPr>
          <w:sz w:val="24"/>
          <w:szCs w:val="24"/>
        </w:rPr>
        <w:t> </w:t>
      </w:r>
      <w:r w:rsidR="001C0FC7" w:rsidRPr="00B41F60">
        <w:rPr>
          <w:sz w:val="24"/>
          <w:szCs w:val="24"/>
        </w:rPr>
        <w:t xml:space="preserve">NMPC currently hold </w:t>
      </w:r>
      <w:r w:rsidR="00B41F60" w:rsidRPr="00B41F60">
        <w:rPr>
          <w:b/>
          <w:bCs/>
          <w:sz w:val="24"/>
          <w:szCs w:val="24"/>
        </w:rPr>
        <w:t>£94998</w:t>
      </w:r>
      <w:r w:rsidR="00B41F60" w:rsidRPr="00B41F60">
        <w:rPr>
          <w:sz w:val="24"/>
          <w:szCs w:val="24"/>
        </w:rPr>
        <w:t xml:space="preserve"> (excluding year end interest) </w:t>
      </w:r>
      <w:r w:rsidR="001C0FC7" w:rsidRPr="00B41F60">
        <w:rPr>
          <w:sz w:val="24"/>
          <w:szCs w:val="24"/>
        </w:rPr>
        <w:t>in all accounts. The</w:t>
      </w:r>
      <w:r w:rsidR="001C0FC7">
        <w:rPr>
          <w:sz w:val="24"/>
          <w:szCs w:val="24"/>
        </w:rPr>
        <w:t xml:space="preserve"> breakdown is listed </w:t>
      </w:r>
      <w:r w:rsidR="00631B29">
        <w:rPr>
          <w:sz w:val="24"/>
          <w:szCs w:val="24"/>
        </w:rPr>
        <w:t>above</w:t>
      </w:r>
      <w:r w:rsidR="001C0FC7">
        <w:rPr>
          <w:sz w:val="24"/>
          <w:szCs w:val="24"/>
        </w:rPr>
        <w:t xml:space="preserve">. Previously council determined that they wished the clerk to ensure that all funds are held under the financial services compensation scheme (FSCS) and therefore balances have been split between two high street banks. There are alternative, sector specific investment banks such as CCLA, however even though these are deemed very low risk council previously determined that they did not wish to investigate any supplier that had any element of risk or who worked outside of the FSCS. </w:t>
      </w:r>
    </w:p>
    <w:p w14:paraId="362E18C1" w14:textId="77777777" w:rsidR="00215CFC" w:rsidRPr="00215CFC" w:rsidRDefault="00215CFC" w:rsidP="00215CFC">
      <w:pPr>
        <w:pStyle w:val="xxmsonormal"/>
        <w:rPr>
          <w:i/>
          <w:iCs/>
        </w:rPr>
      </w:pPr>
      <w:r w:rsidRPr="00215CFC">
        <w:rPr>
          <w:i/>
          <w:iCs/>
          <w:sz w:val="24"/>
          <w:szCs w:val="24"/>
        </w:rPr>
        <w:t> </w:t>
      </w:r>
    </w:p>
    <w:p w14:paraId="347C1345" w14:textId="77777777" w:rsidR="00AF2DEF" w:rsidRDefault="00AF2DEF" w:rsidP="00AF2DEF">
      <w:pPr>
        <w:pStyle w:val="Heading2"/>
        <w:rPr>
          <w:b/>
          <w:bCs/>
        </w:rPr>
      </w:pPr>
      <w:r w:rsidRPr="00D31FCB">
        <w:rPr>
          <w:b/>
          <w:bCs/>
        </w:rPr>
        <w:t xml:space="preserve">Considerations </w:t>
      </w:r>
    </w:p>
    <w:p w14:paraId="2F023F60" w14:textId="2C638E43" w:rsidR="001C0FC7" w:rsidRPr="001C0FC7" w:rsidRDefault="001C0FC7" w:rsidP="001C0FC7">
      <w:pPr>
        <w:rPr>
          <w:sz w:val="24"/>
          <w:szCs w:val="24"/>
          <w:lang w:eastAsia="en-GB"/>
        </w:rPr>
      </w:pPr>
      <w:r w:rsidRPr="001C0FC7">
        <w:rPr>
          <w:sz w:val="24"/>
          <w:szCs w:val="24"/>
          <w:lang w:eastAsia="en-GB"/>
        </w:rPr>
        <w:t>Public Sector accounts are hard to open now with some high street b</w:t>
      </w:r>
      <w:r>
        <w:rPr>
          <w:sz w:val="24"/>
          <w:szCs w:val="24"/>
          <w:lang w:eastAsia="en-GB"/>
        </w:rPr>
        <w:t>an</w:t>
      </w:r>
      <w:r w:rsidRPr="001C0FC7">
        <w:rPr>
          <w:sz w:val="24"/>
          <w:szCs w:val="24"/>
          <w:lang w:eastAsia="en-GB"/>
        </w:rPr>
        <w:t>ks refusing new applications. NMPC could stay with their existing providers</w:t>
      </w:r>
      <w:r w:rsidR="00631B29">
        <w:rPr>
          <w:sz w:val="24"/>
          <w:szCs w:val="24"/>
          <w:lang w:eastAsia="en-GB"/>
        </w:rPr>
        <w:t>, enabling them to remain with current signatories and internal control procedures</w:t>
      </w:r>
      <w:r w:rsidRPr="001C0FC7">
        <w:rPr>
          <w:sz w:val="24"/>
          <w:szCs w:val="24"/>
          <w:lang w:eastAsia="en-GB"/>
        </w:rPr>
        <w:t xml:space="preserve"> and move the funds across to alternative accounts to enable them to obtain a higher rate of interest. </w:t>
      </w:r>
    </w:p>
    <w:p w14:paraId="08DEF4F0" w14:textId="46573441" w:rsidR="001C0FC7" w:rsidRDefault="001C0FC7" w:rsidP="001C0FC7">
      <w:pPr>
        <w:rPr>
          <w:sz w:val="24"/>
          <w:szCs w:val="24"/>
          <w:lang w:eastAsia="en-GB"/>
        </w:rPr>
      </w:pPr>
      <w:r w:rsidRPr="001C0FC7">
        <w:rPr>
          <w:sz w:val="24"/>
          <w:szCs w:val="24"/>
          <w:lang w:eastAsia="en-GB"/>
        </w:rPr>
        <w:t xml:space="preserve">As RFO I would </w:t>
      </w:r>
      <w:r w:rsidR="00631B29">
        <w:rPr>
          <w:sz w:val="24"/>
          <w:szCs w:val="24"/>
          <w:lang w:eastAsia="en-GB"/>
        </w:rPr>
        <w:t xml:space="preserve">recommend </w:t>
      </w:r>
      <w:r w:rsidRPr="001C0FC7">
        <w:rPr>
          <w:sz w:val="24"/>
          <w:szCs w:val="24"/>
          <w:lang w:eastAsia="en-GB"/>
        </w:rPr>
        <w:t xml:space="preserve">that the main </w:t>
      </w:r>
      <w:r>
        <w:rPr>
          <w:sz w:val="24"/>
          <w:szCs w:val="24"/>
          <w:lang w:eastAsia="en-GB"/>
        </w:rPr>
        <w:t xml:space="preserve">precept </w:t>
      </w:r>
      <w:r w:rsidRPr="001C0FC7">
        <w:rPr>
          <w:sz w:val="24"/>
          <w:szCs w:val="24"/>
          <w:lang w:eastAsia="en-GB"/>
        </w:rPr>
        <w:t xml:space="preserve">is left on instant access as this will be </w:t>
      </w:r>
      <w:r>
        <w:rPr>
          <w:sz w:val="24"/>
          <w:szCs w:val="24"/>
          <w:lang w:eastAsia="en-GB"/>
        </w:rPr>
        <w:t>used</w:t>
      </w:r>
      <w:r w:rsidRPr="001C0FC7">
        <w:rPr>
          <w:sz w:val="24"/>
          <w:szCs w:val="24"/>
          <w:lang w:eastAsia="en-GB"/>
        </w:rPr>
        <w:t xml:space="preserve"> for our annual expenditure but that the remaining funds held as reserves are split across the following type of accounts to enable it to be spread across the best interest rates </w:t>
      </w:r>
      <w:r w:rsidRPr="001C0FC7">
        <w:rPr>
          <w:sz w:val="24"/>
          <w:szCs w:val="24"/>
          <w:lang w:eastAsia="en-GB"/>
        </w:rPr>
        <w:lastRenderedPageBreak/>
        <w:t>whilst still allowing for transfers (with notice) should council wish to make any additional, unexpected expenditure.</w:t>
      </w:r>
    </w:p>
    <w:p w14:paraId="5C22DE24" w14:textId="77777777" w:rsidR="00AF2DEF" w:rsidRDefault="00AF2DEF" w:rsidP="00AF2DEF">
      <w:pPr>
        <w:pStyle w:val="Heading2"/>
        <w:rPr>
          <w:b/>
          <w:bCs/>
        </w:rPr>
      </w:pPr>
      <w:r w:rsidRPr="00D31FCB">
        <w:rPr>
          <w:b/>
          <w:bCs/>
        </w:rPr>
        <w:t>Future Actions for a later date</w:t>
      </w:r>
      <w:r>
        <w:rPr>
          <w:b/>
          <w:bCs/>
        </w:rPr>
        <w:t xml:space="preserve">/budget consideration </w:t>
      </w:r>
    </w:p>
    <w:p w14:paraId="4B491E9B" w14:textId="7B9A740E" w:rsidR="005B7815" w:rsidRPr="001C0FC7" w:rsidRDefault="005B7815" w:rsidP="001C0FC7">
      <w:pPr>
        <w:rPr>
          <w:sz w:val="24"/>
          <w:szCs w:val="24"/>
          <w:lang w:eastAsia="en-GB"/>
        </w:rPr>
      </w:pPr>
      <w:r>
        <w:rPr>
          <w:sz w:val="24"/>
          <w:szCs w:val="24"/>
          <w:lang w:eastAsia="en-GB"/>
        </w:rPr>
        <w:t xml:space="preserve">Once council have determined the options and </w:t>
      </w:r>
      <w:proofErr w:type="gramStart"/>
      <w:r>
        <w:rPr>
          <w:sz w:val="24"/>
          <w:szCs w:val="24"/>
          <w:lang w:eastAsia="en-GB"/>
        </w:rPr>
        <w:t>made a decision</w:t>
      </w:r>
      <w:proofErr w:type="gramEnd"/>
      <w:r>
        <w:rPr>
          <w:sz w:val="24"/>
          <w:szCs w:val="24"/>
          <w:lang w:eastAsia="en-GB"/>
        </w:rPr>
        <w:t xml:space="preserve"> the financial management risk assessment will need to be updated to take into account, the risk of having any products on longer term notice periods. The investment policy will also need updating.</w:t>
      </w:r>
    </w:p>
    <w:p w14:paraId="5F2DC751" w14:textId="673F331F" w:rsidR="00AF2DEF" w:rsidRDefault="00AF2DEF" w:rsidP="00AF2DEF">
      <w:pPr>
        <w:pStyle w:val="Heading2"/>
        <w:rPr>
          <w:b/>
          <w:bCs/>
          <w:lang w:val="en-US"/>
        </w:rPr>
      </w:pPr>
      <w:r w:rsidRPr="00C021E7">
        <w:rPr>
          <w:b/>
          <w:bCs/>
          <w:lang w:val="en-US"/>
        </w:rPr>
        <w:t>Suggested Alternatives</w:t>
      </w:r>
      <w:r>
        <w:rPr>
          <w:b/>
          <w:bCs/>
          <w:lang w:val="en-US"/>
        </w:rPr>
        <w:t xml:space="preserve"> </w:t>
      </w:r>
    </w:p>
    <w:p w14:paraId="51F3C83E" w14:textId="77777777" w:rsidR="00EC1C19" w:rsidRDefault="005B7815" w:rsidP="005B7815">
      <w:pPr>
        <w:rPr>
          <w:sz w:val="24"/>
          <w:szCs w:val="24"/>
          <w:lang w:eastAsia="en-GB"/>
        </w:rPr>
      </w:pPr>
      <w:r w:rsidRPr="001C0FC7">
        <w:rPr>
          <w:sz w:val="24"/>
          <w:szCs w:val="24"/>
          <w:lang w:eastAsia="en-GB"/>
        </w:rPr>
        <w:t xml:space="preserve">Council could choose to request that the clerk investigates the CCLA products for council consideration. </w:t>
      </w:r>
      <w:r>
        <w:rPr>
          <w:sz w:val="24"/>
          <w:szCs w:val="24"/>
          <w:lang w:eastAsia="en-GB"/>
        </w:rPr>
        <w:t>(the public sector deposit fund is used by many local councils, has an interest rate currently in excess of 5% but is not covered by the FSCS)</w:t>
      </w:r>
      <w:r w:rsidR="0094748E">
        <w:rPr>
          <w:sz w:val="24"/>
          <w:szCs w:val="24"/>
          <w:lang w:eastAsia="en-GB"/>
        </w:rPr>
        <w:t xml:space="preserve">. </w:t>
      </w:r>
    </w:p>
    <w:p w14:paraId="10751F45" w14:textId="77777777" w:rsidR="00EC1C19" w:rsidRPr="005B7815" w:rsidRDefault="00EC1C19" w:rsidP="00EC1C19">
      <w:pPr>
        <w:rPr>
          <w:sz w:val="24"/>
          <w:szCs w:val="24"/>
          <w:lang w:eastAsia="en-GB"/>
        </w:rPr>
      </w:pPr>
      <w:hyperlink r:id="rId16" w:history="1">
        <w:r w:rsidRPr="005B7815">
          <w:rPr>
            <w:rStyle w:val="Hyperlink"/>
            <w:sz w:val="24"/>
            <w:szCs w:val="24"/>
          </w:rPr>
          <w:t>The Public Sector Deposit Fund | CCLA</w:t>
        </w:r>
      </w:hyperlink>
    </w:p>
    <w:p w14:paraId="783D594E" w14:textId="77777777" w:rsidR="00EC1C19" w:rsidRDefault="00EC1C19" w:rsidP="00EC1C19">
      <w:pPr>
        <w:rPr>
          <w:rStyle w:val="Hyperlink"/>
          <w:sz w:val="24"/>
          <w:szCs w:val="24"/>
        </w:rPr>
      </w:pPr>
      <w:hyperlink r:id="rId17" w:history="1">
        <w:r w:rsidRPr="005B7815">
          <w:rPr>
            <w:rStyle w:val="Hyperlink"/>
            <w:sz w:val="24"/>
            <w:szCs w:val="24"/>
          </w:rPr>
          <w:t>Local authorities | CCLA</w:t>
        </w:r>
      </w:hyperlink>
    </w:p>
    <w:p w14:paraId="53EE27EB" w14:textId="77777777" w:rsidR="00BD17DD" w:rsidRPr="002C12FB" w:rsidRDefault="00BD17DD" w:rsidP="00BD17DD">
      <w:pPr>
        <w:rPr>
          <w:i/>
          <w:iCs/>
          <w:sz w:val="28"/>
          <w:szCs w:val="28"/>
          <w:lang w:val="en-US" w:eastAsia="en-GB"/>
        </w:rPr>
      </w:pPr>
    </w:p>
    <w:p w14:paraId="727E35D7" w14:textId="77777777" w:rsidR="00BD17DD" w:rsidRPr="002C12FB" w:rsidRDefault="00BD17DD" w:rsidP="00BD17DD">
      <w:pPr>
        <w:rPr>
          <w:b/>
          <w:bCs/>
          <w:sz w:val="24"/>
          <w:szCs w:val="24"/>
          <w:lang w:val="en-US" w:eastAsia="en-GB"/>
        </w:rPr>
      </w:pPr>
      <w:r w:rsidRPr="002C12FB">
        <w:rPr>
          <w:b/>
          <w:bCs/>
          <w:sz w:val="24"/>
          <w:szCs w:val="24"/>
          <w:lang w:val="en-US" w:eastAsia="en-GB"/>
        </w:rPr>
        <w:t>Bank Reconciliation (waiting for year-end interest to be received) 28</w:t>
      </w:r>
      <w:r w:rsidRPr="002C12FB">
        <w:rPr>
          <w:b/>
          <w:bCs/>
          <w:sz w:val="24"/>
          <w:szCs w:val="24"/>
          <w:vertAlign w:val="superscript"/>
          <w:lang w:val="en-US" w:eastAsia="en-GB"/>
        </w:rPr>
        <w:t>th</w:t>
      </w:r>
      <w:r w:rsidRPr="002C12FB">
        <w:rPr>
          <w:b/>
          <w:bCs/>
          <w:sz w:val="24"/>
          <w:szCs w:val="24"/>
          <w:lang w:val="en-US" w:eastAsia="en-GB"/>
        </w:rPr>
        <w:t xml:space="preserve"> March 2024</w:t>
      </w:r>
    </w:p>
    <w:p w14:paraId="5789938B" w14:textId="56B277A5" w:rsidR="00BD17DD" w:rsidRDefault="00BD17DD" w:rsidP="00EC1C19">
      <w:pPr>
        <w:rPr>
          <w:rStyle w:val="Hyperlink"/>
          <w:sz w:val="24"/>
          <w:szCs w:val="24"/>
        </w:rPr>
      </w:pPr>
      <w:r>
        <w:rPr>
          <w:noProof/>
        </w:rPr>
        <w:drawing>
          <wp:inline distT="0" distB="0" distL="0" distR="0" wp14:anchorId="17A4E8A2" wp14:editId="73DE3000">
            <wp:extent cx="5731510" cy="1560195"/>
            <wp:effectExtent l="0" t="0" r="2540" b="1905"/>
            <wp:docPr id="3275023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02342" name="Picture 1">
                      <a:extLst>
                        <a:ext uri="{C183D7F6-B498-43B3-948B-1728B52AA6E4}">
                          <adec:decorative xmlns:adec="http://schemas.microsoft.com/office/drawing/2017/decorative" val="1"/>
                        </a:ext>
                      </a:extLst>
                    </pic:cNvPr>
                    <pic:cNvPicPr/>
                  </pic:nvPicPr>
                  <pic:blipFill>
                    <a:blip r:embed="rId18"/>
                    <a:stretch>
                      <a:fillRect/>
                    </a:stretch>
                  </pic:blipFill>
                  <pic:spPr>
                    <a:xfrm>
                      <a:off x="0" y="0"/>
                      <a:ext cx="5731510" cy="1560195"/>
                    </a:xfrm>
                    <a:prstGeom prst="rect">
                      <a:avLst/>
                    </a:prstGeom>
                  </pic:spPr>
                </pic:pic>
              </a:graphicData>
            </a:graphic>
          </wp:inline>
        </w:drawing>
      </w:r>
    </w:p>
    <w:p w14:paraId="1D52567C" w14:textId="14BE63E0" w:rsidR="00BD17DD" w:rsidRPr="00245310" w:rsidRDefault="00BD17DD" w:rsidP="00BD17DD">
      <w:pPr>
        <w:rPr>
          <w:b/>
          <w:bCs/>
          <w:sz w:val="24"/>
          <w:szCs w:val="24"/>
          <w:lang w:val="en-US" w:eastAsia="en-GB"/>
        </w:rPr>
      </w:pPr>
      <w:r w:rsidRPr="00E91C76">
        <w:rPr>
          <w:b/>
          <w:bCs/>
          <w:sz w:val="24"/>
          <w:szCs w:val="24"/>
          <w:lang w:val="en-US" w:eastAsia="en-GB"/>
        </w:rPr>
        <w:t>Reserves 28</w:t>
      </w:r>
      <w:r w:rsidRPr="00E91C76">
        <w:rPr>
          <w:b/>
          <w:bCs/>
          <w:sz w:val="24"/>
          <w:szCs w:val="24"/>
          <w:vertAlign w:val="superscript"/>
          <w:lang w:val="en-US" w:eastAsia="en-GB"/>
        </w:rPr>
        <w:t>TH</w:t>
      </w:r>
      <w:r w:rsidRPr="00E91C76">
        <w:rPr>
          <w:b/>
          <w:bCs/>
          <w:sz w:val="24"/>
          <w:szCs w:val="24"/>
          <w:lang w:val="en-US" w:eastAsia="en-GB"/>
        </w:rPr>
        <w:t xml:space="preserve"> </w:t>
      </w:r>
      <w:r w:rsidR="005466B1" w:rsidRPr="00E91C76">
        <w:rPr>
          <w:b/>
          <w:bCs/>
          <w:sz w:val="24"/>
          <w:szCs w:val="24"/>
          <w:lang w:val="en-US" w:eastAsia="en-GB"/>
        </w:rPr>
        <w:t>M</w:t>
      </w:r>
      <w:r w:rsidR="005466B1">
        <w:rPr>
          <w:b/>
          <w:bCs/>
          <w:sz w:val="24"/>
          <w:szCs w:val="24"/>
          <w:lang w:val="en-US" w:eastAsia="en-GB"/>
        </w:rPr>
        <w:t>arch</w:t>
      </w:r>
      <w:r w:rsidR="005466B1" w:rsidRPr="00E91C76">
        <w:rPr>
          <w:b/>
          <w:bCs/>
          <w:sz w:val="24"/>
          <w:szCs w:val="24"/>
          <w:lang w:val="en-US" w:eastAsia="en-GB"/>
        </w:rPr>
        <w:t xml:space="preserve"> 2024</w:t>
      </w:r>
    </w:p>
    <w:p w14:paraId="46D2F306" w14:textId="546ADC1D" w:rsidR="00BD17DD" w:rsidRDefault="00BD17DD" w:rsidP="00EC1C19">
      <w:pPr>
        <w:rPr>
          <w:rStyle w:val="Hyperlink"/>
          <w:sz w:val="24"/>
          <w:szCs w:val="24"/>
        </w:rPr>
      </w:pPr>
      <w:r>
        <w:rPr>
          <w:noProof/>
        </w:rPr>
        <w:drawing>
          <wp:inline distT="0" distB="0" distL="0" distR="0" wp14:anchorId="228B1D8D" wp14:editId="0D65A7B0">
            <wp:extent cx="5257800" cy="2817636"/>
            <wp:effectExtent l="0" t="0" r="0" b="1905"/>
            <wp:docPr id="1071772157" name="Picture 1" descr="A table with numbers and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72157" name="Picture 1" descr="A table with numbers and numbers"/>
                    <pic:cNvPicPr/>
                  </pic:nvPicPr>
                  <pic:blipFill>
                    <a:blip r:embed="rId19"/>
                    <a:stretch>
                      <a:fillRect/>
                    </a:stretch>
                  </pic:blipFill>
                  <pic:spPr>
                    <a:xfrm>
                      <a:off x="0" y="0"/>
                      <a:ext cx="5264869" cy="2821424"/>
                    </a:xfrm>
                    <a:prstGeom prst="rect">
                      <a:avLst/>
                    </a:prstGeom>
                  </pic:spPr>
                </pic:pic>
              </a:graphicData>
            </a:graphic>
          </wp:inline>
        </w:drawing>
      </w:r>
    </w:p>
    <w:p w14:paraId="0537A260" w14:textId="77777777" w:rsidR="00BD17DD" w:rsidRDefault="00BD17DD" w:rsidP="005B7815">
      <w:pPr>
        <w:rPr>
          <w:rStyle w:val="Hyperlink"/>
          <w:b/>
          <w:bCs/>
          <w:color w:val="auto"/>
          <w:sz w:val="24"/>
          <w:szCs w:val="24"/>
        </w:rPr>
      </w:pPr>
    </w:p>
    <w:p w14:paraId="461AE2A1" w14:textId="67035097" w:rsidR="00EC1C19" w:rsidRPr="008A7A04" w:rsidRDefault="00EC1C19" w:rsidP="005B7815">
      <w:pPr>
        <w:rPr>
          <w:rStyle w:val="Hyperlink"/>
          <w:b/>
          <w:bCs/>
          <w:color w:val="auto"/>
          <w:sz w:val="24"/>
          <w:szCs w:val="24"/>
        </w:rPr>
      </w:pPr>
      <w:r w:rsidRPr="008A7A04">
        <w:rPr>
          <w:rStyle w:val="Hyperlink"/>
          <w:b/>
          <w:bCs/>
          <w:color w:val="auto"/>
          <w:sz w:val="24"/>
          <w:szCs w:val="24"/>
        </w:rPr>
        <w:lastRenderedPageBreak/>
        <w:t xml:space="preserve">Advice </w:t>
      </w:r>
      <w:r w:rsidR="008A7A04" w:rsidRPr="008A7A04">
        <w:rPr>
          <w:rStyle w:val="Hyperlink"/>
          <w:b/>
          <w:bCs/>
          <w:color w:val="auto"/>
          <w:sz w:val="24"/>
          <w:szCs w:val="24"/>
        </w:rPr>
        <w:t>notes</w:t>
      </w:r>
      <w:r w:rsidRPr="008A7A04">
        <w:rPr>
          <w:rStyle w:val="Hyperlink"/>
          <w:b/>
          <w:bCs/>
          <w:color w:val="auto"/>
          <w:sz w:val="24"/>
          <w:szCs w:val="24"/>
        </w:rPr>
        <w:t xml:space="preserve"> from SLCC </w:t>
      </w:r>
      <w:r w:rsidR="00903178" w:rsidRPr="008A7A04">
        <w:rPr>
          <w:rStyle w:val="Hyperlink"/>
          <w:b/>
          <w:bCs/>
          <w:color w:val="auto"/>
          <w:sz w:val="24"/>
          <w:szCs w:val="24"/>
        </w:rPr>
        <w:t>GN</w:t>
      </w:r>
      <w:r w:rsidR="008A7A04" w:rsidRPr="008A7A04">
        <w:rPr>
          <w:rStyle w:val="Hyperlink"/>
          <w:b/>
          <w:bCs/>
          <w:color w:val="auto"/>
          <w:sz w:val="24"/>
          <w:szCs w:val="24"/>
        </w:rPr>
        <w:t>65</w:t>
      </w:r>
    </w:p>
    <w:p w14:paraId="2B4752E2" w14:textId="77777777" w:rsidR="008A7A04" w:rsidRDefault="008A7A04" w:rsidP="005B7815">
      <w:r>
        <w:t xml:space="preserve">ADVICE NOTE: Investments (England only) </w:t>
      </w:r>
    </w:p>
    <w:p w14:paraId="36D7BA86" w14:textId="77777777" w:rsidR="008A7A04" w:rsidRDefault="008A7A04" w:rsidP="005B7815">
      <w:r>
        <w:t>1. This Advice Note applies only to parish and town councils in England.</w:t>
      </w:r>
    </w:p>
    <w:p w14:paraId="6FEDE4B7" w14:textId="77777777" w:rsidR="008A7A04" w:rsidRDefault="008A7A04" w:rsidP="005B7815">
      <w:r>
        <w:t xml:space="preserve"> 2. Councils have the power to invest for any purpose relevant to their functions under any enactment, or for the purposes of the prudent management of their financial affairs (section 12 of the Local Government Act 2003, the ‘2003 Act’). </w:t>
      </w:r>
    </w:p>
    <w:p w14:paraId="6E6DCC98" w14:textId="0278307D" w:rsidR="008A7A04" w:rsidRDefault="008A7A04" w:rsidP="005B7815">
      <w:r>
        <w:t>3. The Government has issued guidance on local government investments under section 15 of the 2003 Act (</w:t>
      </w:r>
      <w:proofErr w:type="spellStart"/>
      <w:r>
        <w:t>‘the</w:t>
      </w:r>
      <w:proofErr w:type="spellEnd"/>
      <w:r>
        <w:t xml:space="preserve"> Guidance’) and this has statutory force. The latest edition, which applies for accounting periods starting on or after 1 April 2018, can be found at </w:t>
      </w:r>
      <w:r>
        <w:t xml:space="preserve"> </w:t>
      </w:r>
      <w:hyperlink r:id="rId20" w:history="1">
        <w:r w:rsidRPr="00EC1C19">
          <w:rPr>
            <w:rStyle w:val="Hyperlink"/>
            <w:sz w:val="24"/>
            <w:szCs w:val="24"/>
            <w:lang w:eastAsia="en-GB"/>
          </w:rPr>
          <w:t>Guidance_on_local_government_investments.pdf (publishing.service.gov.uk)</w:t>
        </w:r>
      </w:hyperlink>
    </w:p>
    <w:p w14:paraId="1514ACB1" w14:textId="57E8EFF8" w:rsidR="008A7A04" w:rsidRDefault="008A7A04" w:rsidP="005B7815">
      <w:r>
        <w:t>Clerks/RFOs should download and read both the Guidance and the ‘informal commentary’ annexed to it.</w:t>
      </w:r>
    </w:p>
    <w:p w14:paraId="7F1CCA88" w14:textId="77777777" w:rsidR="008A7A04" w:rsidRDefault="008A7A04" w:rsidP="005B7815">
      <w:r>
        <w:t xml:space="preserve"> 4. The Guidance is mandatory where investments of a parish or town council exceed or are expected to exceed £100,000 at any point in a financial year (see paragraph 14 of the Guidance on page 2). Note that this is a lower limit than for the previous edition (see paragraph 11 of the non-statutory commentary on page 10). Parish or town councils where investments are expected to exceed £10,000 are encouraged to adopt the principles in the Guidance. </w:t>
      </w:r>
    </w:p>
    <w:p w14:paraId="5EFDBF06" w14:textId="77777777" w:rsidR="008A7A04" w:rsidRDefault="008A7A04" w:rsidP="005B7815">
      <w:r>
        <w:t xml:space="preserve">5. ‘Investment’ in the Guidance is very widely defined (see paragraph 4 of the Guidance on page 1) and includes non-financial investments such as property investments. It follows that where councils own or lease </w:t>
      </w:r>
      <w:proofErr w:type="gramStart"/>
      <w:r>
        <w:t>property</w:t>
      </w:r>
      <w:proofErr w:type="gramEnd"/>
      <w:r>
        <w:t xml:space="preserve"> they need to be clear as to whether the property is held for the purposes of enabling the council to perform its functions or as an investment. This can be a difficult decision where a council expects or hopes to make a profit from property ownership.</w:t>
      </w:r>
    </w:p>
    <w:p w14:paraId="69EC18E5" w14:textId="77777777" w:rsidR="008A7A04" w:rsidRDefault="008A7A04" w:rsidP="005B7815">
      <w:r>
        <w:t xml:space="preserve"> 6. Where the Guidance is mandatory, or where a council has adopted the principles in the Guidance, the council must, at a Full Council meeting, adopt an investment strategy for each financial year (see paragraphs 15-19 of the Guidance on pages 2-3 and paragraphs 12-17 of the non-statutory commentary on pages 10-11). </w:t>
      </w:r>
    </w:p>
    <w:p w14:paraId="5E4A1D50" w14:textId="77777777" w:rsidR="008A7A04" w:rsidRDefault="008A7A04" w:rsidP="005B7815">
      <w:r>
        <w:t xml:space="preserve">7. The key paragraphs in the Guidance are paragraphs 26-29 on page 4, discussing security, </w:t>
      </w:r>
      <w:proofErr w:type="gramStart"/>
      <w:r>
        <w:t>liquidity</w:t>
      </w:r>
      <w:proofErr w:type="gramEnd"/>
      <w:r>
        <w:t xml:space="preserve"> and yield. Yield should always be a much less important factor than security and liquidity. </w:t>
      </w:r>
    </w:p>
    <w:p w14:paraId="0A783A35" w14:textId="77777777" w:rsidR="008A7A04" w:rsidRDefault="008A7A04" w:rsidP="005B7815">
      <w:r>
        <w:t xml:space="preserve">8. A parish or town council has a number of powers to make loans to organisations and this is covered in paragraph 33-34 of the Guidance on page 5 and paragraph 27 of the non-statutory commentary on page 14. However as local councils do not publish a balance sheet there is no financial benefit to a local council in making a loan and it may put pressure on the borrower: it may be in everyone’s interest to make a grant instead. </w:t>
      </w:r>
    </w:p>
    <w:p w14:paraId="01673731" w14:textId="4380B1C1" w:rsidR="00EC1C19" w:rsidRDefault="008A7A04" w:rsidP="005B7815">
      <w:pPr>
        <w:rPr>
          <w:sz w:val="24"/>
          <w:szCs w:val="24"/>
          <w:lang w:eastAsia="en-GB"/>
        </w:rPr>
      </w:pPr>
      <w:r>
        <w:t xml:space="preserve">9. All councils need to have regard to paragraphs 48-50 of the Guidance (on page 8) and paragraphs 38-40 of the non-statutory commentary (on page 16) on capacity, </w:t>
      </w:r>
      <w:proofErr w:type="gramStart"/>
      <w:r>
        <w:t>skills</w:t>
      </w:r>
      <w:proofErr w:type="gramEnd"/>
      <w:r>
        <w:t xml:space="preserve"> and culture. With more devolution of services and assets to local councils many councils may want to consider whether a higher degree of professionalism is required</w:t>
      </w:r>
      <w:r w:rsidR="00BD17DD">
        <w:t>.</w:t>
      </w:r>
    </w:p>
    <w:p w14:paraId="0332C381" w14:textId="77777777" w:rsidR="005B7815" w:rsidRDefault="005B7815" w:rsidP="005B7815">
      <w:pPr>
        <w:rPr>
          <w:lang w:val="en-US" w:eastAsia="en-GB"/>
        </w:rPr>
      </w:pPr>
    </w:p>
    <w:p w14:paraId="5B771DE1" w14:textId="1DD8F939" w:rsidR="00A500BD" w:rsidRDefault="00BD17DD" w:rsidP="006304B6">
      <w:pPr>
        <w:rPr>
          <w:sz w:val="24"/>
          <w:szCs w:val="24"/>
          <w:lang w:val="en-US" w:eastAsia="en-GB"/>
        </w:rPr>
      </w:pPr>
      <w:r>
        <w:rPr>
          <w:i/>
          <w:iCs/>
          <w:sz w:val="28"/>
          <w:szCs w:val="28"/>
          <w:lang w:val="en-US" w:eastAsia="en-GB"/>
        </w:rPr>
        <w:t>Ni</w:t>
      </w:r>
      <w:r w:rsidR="00A500BD" w:rsidRPr="002C12FB">
        <w:rPr>
          <w:i/>
          <w:iCs/>
          <w:sz w:val="28"/>
          <w:szCs w:val="28"/>
          <w:lang w:val="en-US" w:eastAsia="en-GB"/>
        </w:rPr>
        <w:t xml:space="preserve">kki Bugden </w:t>
      </w:r>
      <w:r w:rsidR="009D4D0E" w:rsidRPr="002C12FB">
        <w:rPr>
          <w:i/>
          <w:iCs/>
          <w:sz w:val="28"/>
          <w:szCs w:val="28"/>
          <w:lang w:val="en-US" w:eastAsia="en-GB"/>
        </w:rPr>
        <w:t>28</w:t>
      </w:r>
      <w:r w:rsidR="005B7815" w:rsidRPr="002C12FB">
        <w:rPr>
          <w:i/>
          <w:iCs/>
          <w:sz w:val="28"/>
          <w:szCs w:val="28"/>
          <w:lang w:val="en-US" w:eastAsia="en-GB"/>
        </w:rPr>
        <w:t>/3/2024</w:t>
      </w:r>
    </w:p>
    <w:sectPr w:rsidR="00A500BD" w:rsidSect="006D59D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719E" w14:textId="77777777" w:rsidR="006D59D3" w:rsidRDefault="006D59D3" w:rsidP="00A123BB">
      <w:pPr>
        <w:spacing w:after="0" w:line="240" w:lineRule="auto"/>
      </w:pPr>
      <w:r>
        <w:separator/>
      </w:r>
    </w:p>
  </w:endnote>
  <w:endnote w:type="continuationSeparator" w:id="0">
    <w:p w14:paraId="14C40376" w14:textId="77777777" w:rsidR="006D59D3" w:rsidRDefault="006D59D3" w:rsidP="00A1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EC3F" w14:textId="77777777" w:rsidR="006D59D3" w:rsidRDefault="006D59D3" w:rsidP="00A123BB">
      <w:pPr>
        <w:spacing w:after="0" w:line="240" w:lineRule="auto"/>
      </w:pPr>
      <w:r>
        <w:separator/>
      </w:r>
    </w:p>
  </w:footnote>
  <w:footnote w:type="continuationSeparator" w:id="0">
    <w:p w14:paraId="7B5396B4" w14:textId="77777777" w:rsidR="006D59D3" w:rsidRDefault="006D59D3" w:rsidP="00A12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7E0"/>
    <w:multiLevelType w:val="hybridMultilevel"/>
    <w:tmpl w:val="949E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73E7F"/>
    <w:multiLevelType w:val="multilevel"/>
    <w:tmpl w:val="A516D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860EC1"/>
    <w:multiLevelType w:val="hybridMultilevel"/>
    <w:tmpl w:val="24B6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439256">
    <w:abstractNumId w:val="0"/>
  </w:num>
  <w:num w:numId="2" w16cid:durableId="977300909">
    <w:abstractNumId w:val="2"/>
  </w:num>
  <w:num w:numId="3" w16cid:durableId="141022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2D"/>
    <w:rsid w:val="00045D86"/>
    <w:rsid w:val="0017422D"/>
    <w:rsid w:val="0018489F"/>
    <w:rsid w:val="001C0FC7"/>
    <w:rsid w:val="001C3AAD"/>
    <w:rsid w:val="001C4AF7"/>
    <w:rsid w:val="00200205"/>
    <w:rsid w:val="00215CFC"/>
    <w:rsid w:val="00242BFE"/>
    <w:rsid w:val="00245310"/>
    <w:rsid w:val="00266538"/>
    <w:rsid w:val="002735CA"/>
    <w:rsid w:val="00275764"/>
    <w:rsid w:val="002769F4"/>
    <w:rsid w:val="00280055"/>
    <w:rsid w:val="002816AC"/>
    <w:rsid w:val="002C12FB"/>
    <w:rsid w:val="002D4C4B"/>
    <w:rsid w:val="00336DBC"/>
    <w:rsid w:val="00353DC8"/>
    <w:rsid w:val="00357E3C"/>
    <w:rsid w:val="00373700"/>
    <w:rsid w:val="003B7CFC"/>
    <w:rsid w:val="003C3DED"/>
    <w:rsid w:val="0042082C"/>
    <w:rsid w:val="00454739"/>
    <w:rsid w:val="00473A53"/>
    <w:rsid w:val="004C0CC5"/>
    <w:rsid w:val="004C0D45"/>
    <w:rsid w:val="004D0937"/>
    <w:rsid w:val="004D5BE5"/>
    <w:rsid w:val="004E00A2"/>
    <w:rsid w:val="005466B1"/>
    <w:rsid w:val="00554C0A"/>
    <w:rsid w:val="005838AC"/>
    <w:rsid w:val="005A516B"/>
    <w:rsid w:val="005B7815"/>
    <w:rsid w:val="005E6AC9"/>
    <w:rsid w:val="00612972"/>
    <w:rsid w:val="006304B6"/>
    <w:rsid w:val="00631B29"/>
    <w:rsid w:val="00634A57"/>
    <w:rsid w:val="006453E5"/>
    <w:rsid w:val="006751D4"/>
    <w:rsid w:val="006875EA"/>
    <w:rsid w:val="006D59D3"/>
    <w:rsid w:val="006E70FD"/>
    <w:rsid w:val="00746DFD"/>
    <w:rsid w:val="0075270D"/>
    <w:rsid w:val="00786B52"/>
    <w:rsid w:val="007B54E5"/>
    <w:rsid w:val="007D55D0"/>
    <w:rsid w:val="007E37D1"/>
    <w:rsid w:val="007E74E9"/>
    <w:rsid w:val="007E7642"/>
    <w:rsid w:val="007F20B2"/>
    <w:rsid w:val="00805D48"/>
    <w:rsid w:val="008133FE"/>
    <w:rsid w:val="00815A4F"/>
    <w:rsid w:val="008401FE"/>
    <w:rsid w:val="0084083D"/>
    <w:rsid w:val="0086072E"/>
    <w:rsid w:val="008719B1"/>
    <w:rsid w:val="00894B6C"/>
    <w:rsid w:val="008A7A04"/>
    <w:rsid w:val="008B66DB"/>
    <w:rsid w:val="00903178"/>
    <w:rsid w:val="0094748E"/>
    <w:rsid w:val="0095052A"/>
    <w:rsid w:val="00964E0C"/>
    <w:rsid w:val="009A18E0"/>
    <w:rsid w:val="009B31D9"/>
    <w:rsid w:val="009B373B"/>
    <w:rsid w:val="009D4D0E"/>
    <w:rsid w:val="009E135C"/>
    <w:rsid w:val="009E5DC1"/>
    <w:rsid w:val="009F2A1E"/>
    <w:rsid w:val="00A123BB"/>
    <w:rsid w:val="00A32ECE"/>
    <w:rsid w:val="00A500BD"/>
    <w:rsid w:val="00A526AA"/>
    <w:rsid w:val="00A73E53"/>
    <w:rsid w:val="00AD0F81"/>
    <w:rsid w:val="00AF045D"/>
    <w:rsid w:val="00AF2C84"/>
    <w:rsid w:val="00AF2DEF"/>
    <w:rsid w:val="00AF6894"/>
    <w:rsid w:val="00B12805"/>
    <w:rsid w:val="00B41F60"/>
    <w:rsid w:val="00B54313"/>
    <w:rsid w:val="00B609AE"/>
    <w:rsid w:val="00BA7FD5"/>
    <w:rsid w:val="00BD17DD"/>
    <w:rsid w:val="00BE156C"/>
    <w:rsid w:val="00C01CB4"/>
    <w:rsid w:val="00CB2AFE"/>
    <w:rsid w:val="00D00092"/>
    <w:rsid w:val="00D0693E"/>
    <w:rsid w:val="00D40F7E"/>
    <w:rsid w:val="00D634EE"/>
    <w:rsid w:val="00D87ADE"/>
    <w:rsid w:val="00D90EB6"/>
    <w:rsid w:val="00DD72B1"/>
    <w:rsid w:val="00DF62BF"/>
    <w:rsid w:val="00E40AE3"/>
    <w:rsid w:val="00E745BF"/>
    <w:rsid w:val="00E8081C"/>
    <w:rsid w:val="00E83480"/>
    <w:rsid w:val="00E91C76"/>
    <w:rsid w:val="00EC1C19"/>
    <w:rsid w:val="00F078D9"/>
    <w:rsid w:val="00FB4878"/>
    <w:rsid w:val="00FD60B9"/>
    <w:rsid w:val="00FD6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DCEA"/>
  <w15:chartTrackingRefBased/>
  <w15:docId w15:val="{0F21B833-C5B5-4869-9BC0-2560CFA4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F2DE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D4C4B"/>
    <w:pPr>
      <w:spacing w:after="0" w:line="240" w:lineRule="auto"/>
    </w:pPr>
    <w:rPr>
      <w:rFonts w:eastAsiaTheme="minorEastAsia"/>
      <w:sz w:val="21"/>
      <w:szCs w:val="21"/>
    </w:rPr>
    <w:tblPr/>
  </w:style>
  <w:style w:type="paragraph" w:styleId="PlainText">
    <w:name w:val="Plain Text"/>
    <w:basedOn w:val="Normal"/>
    <w:link w:val="PlainTextChar"/>
    <w:uiPriority w:val="99"/>
    <w:semiHidden/>
    <w:unhideWhenUsed/>
    <w:rsid w:val="0017422D"/>
    <w:pPr>
      <w:spacing w:after="0" w:line="240" w:lineRule="auto"/>
    </w:pPr>
    <w:rPr>
      <w:rFonts w:ascii="Calibri" w:eastAsia="Times New Roman" w:hAnsi="Calibri"/>
      <w:kern w:val="0"/>
      <w:szCs w:val="21"/>
      <w14:ligatures w14:val="none"/>
    </w:rPr>
  </w:style>
  <w:style w:type="character" w:customStyle="1" w:styleId="PlainTextChar">
    <w:name w:val="Plain Text Char"/>
    <w:basedOn w:val="DefaultParagraphFont"/>
    <w:link w:val="PlainText"/>
    <w:uiPriority w:val="99"/>
    <w:semiHidden/>
    <w:rsid w:val="0017422D"/>
    <w:rPr>
      <w:rFonts w:ascii="Calibri" w:eastAsia="Times New Roman" w:hAnsi="Calibri"/>
      <w:kern w:val="0"/>
      <w:szCs w:val="21"/>
      <w14:ligatures w14:val="none"/>
    </w:rPr>
  </w:style>
  <w:style w:type="paragraph" w:styleId="Title">
    <w:name w:val="Title"/>
    <w:basedOn w:val="Normal"/>
    <w:next w:val="Normal"/>
    <w:link w:val="TitleChar"/>
    <w:uiPriority w:val="10"/>
    <w:qFormat/>
    <w:rsid w:val="00AF2DEF"/>
    <w:pPr>
      <w:spacing w:after="0" w:line="240" w:lineRule="auto"/>
      <w:contextualSpacing/>
    </w:pPr>
    <w:rPr>
      <w:rFonts w:asciiTheme="majorHAnsi" w:eastAsiaTheme="majorEastAsia" w:hAnsiTheme="majorHAnsi" w:cstheme="majorBidi"/>
      <w:spacing w:val="-10"/>
      <w:kern w:val="28"/>
      <w:sz w:val="56"/>
      <w:szCs w:val="56"/>
      <w:lang w:eastAsia="en-GB"/>
      <w14:ligatures w14:val="none"/>
    </w:rPr>
  </w:style>
  <w:style w:type="character" w:customStyle="1" w:styleId="TitleChar">
    <w:name w:val="Title Char"/>
    <w:basedOn w:val="DefaultParagraphFont"/>
    <w:link w:val="Title"/>
    <w:uiPriority w:val="10"/>
    <w:rsid w:val="00AF2DEF"/>
    <w:rPr>
      <w:rFonts w:asciiTheme="majorHAnsi" w:eastAsiaTheme="majorEastAsia" w:hAnsiTheme="majorHAnsi" w:cstheme="majorBidi"/>
      <w:spacing w:val="-10"/>
      <w:kern w:val="28"/>
      <w:sz w:val="56"/>
      <w:szCs w:val="56"/>
      <w:lang w:eastAsia="en-GB"/>
      <w14:ligatures w14:val="none"/>
    </w:rPr>
  </w:style>
  <w:style w:type="character" w:customStyle="1" w:styleId="Heading2Char">
    <w:name w:val="Heading 2 Char"/>
    <w:basedOn w:val="DefaultParagraphFont"/>
    <w:link w:val="Heading2"/>
    <w:uiPriority w:val="9"/>
    <w:rsid w:val="00AF2DEF"/>
    <w:rPr>
      <w:rFonts w:asciiTheme="majorHAnsi" w:eastAsiaTheme="majorEastAsia" w:hAnsiTheme="majorHAnsi" w:cstheme="majorBidi"/>
      <w:color w:val="2F5496" w:themeColor="accent1" w:themeShade="BF"/>
      <w:kern w:val="0"/>
      <w:sz w:val="26"/>
      <w:szCs w:val="26"/>
      <w:lang w:eastAsia="en-GB"/>
      <w14:ligatures w14:val="none"/>
    </w:rPr>
  </w:style>
  <w:style w:type="paragraph" w:styleId="ListParagraph">
    <w:name w:val="List Paragraph"/>
    <w:basedOn w:val="Normal"/>
    <w:uiPriority w:val="34"/>
    <w:qFormat/>
    <w:rsid w:val="00AF2DEF"/>
    <w:pPr>
      <w:ind w:left="720"/>
      <w:contextualSpacing/>
    </w:pPr>
  </w:style>
  <w:style w:type="paragraph" w:styleId="Header">
    <w:name w:val="header"/>
    <w:basedOn w:val="Normal"/>
    <w:link w:val="HeaderChar"/>
    <w:uiPriority w:val="99"/>
    <w:unhideWhenUsed/>
    <w:rsid w:val="00A12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3BB"/>
  </w:style>
  <w:style w:type="paragraph" w:styleId="Footer">
    <w:name w:val="footer"/>
    <w:basedOn w:val="Normal"/>
    <w:link w:val="FooterChar"/>
    <w:uiPriority w:val="99"/>
    <w:unhideWhenUsed/>
    <w:rsid w:val="00A12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3BB"/>
  </w:style>
  <w:style w:type="table" w:styleId="TableGrid">
    <w:name w:val="Table Grid"/>
    <w:basedOn w:val="TableNormal"/>
    <w:uiPriority w:val="39"/>
    <w:rsid w:val="00C0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EE5"/>
    <w:rPr>
      <w:color w:val="0563C1" w:themeColor="hyperlink"/>
      <w:u w:val="single"/>
    </w:rPr>
  </w:style>
  <w:style w:type="character" w:styleId="UnresolvedMention">
    <w:name w:val="Unresolved Mention"/>
    <w:basedOn w:val="DefaultParagraphFont"/>
    <w:uiPriority w:val="99"/>
    <w:semiHidden/>
    <w:unhideWhenUsed/>
    <w:rsid w:val="00FD6EE5"/>
    <w:rPr>
      <w:color w:val="605E5C"/>
      <w:shd w:val="clear" w:color="auto" w:fill="E1DFDD"/>
    </w:rPr>
  </w:style>
  <w:style w:type="paragraph" w:customStyle="1" w:styleId="xxmsonormal">
    <w:name w:val="x_xmsonormal"/>
    <w:basedOn w:val="Normal"/>
    <w:rsid w:val="00215CFC"/>
    <w:pPr>
      <w:spacing w:after="0" w:line="240" w:lineRule="auto"/>
    </w:pPr>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6751D4"/>
    <w:rPr>
      <w:color w:val="954F72" w:themeColor="followedHyperlink"/>
      <w:u w:val="single"/>
    </w:rPr>
  </w:style>
  <w:style w:type="paragraph" w:styleId="NormalWeb">
    <w:name w:val="Normal (Web)"/>
    <w:basedOn w:val="Normal"/>
    <w:uiPriority w:val="99"/>
    <w:semiHidden/>
    <w:unhideWhenUsed/>
    <w:rsid w:val="00353D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281">
      <w:bodyDiv w:val="1"/>
      <w:marLeft w:val="0"/>
      <w:marRight w:val="0"/>
      <w:marTop w:val="0"/>
      <w:marBottom w:val="0"/>
      <w:divBdr>
        <w:top w:val="none" w:sz="0" w:space="0" w:color="auto"/>
        <w:left w:val="none" w:sz="0" w:space="0" w:color="auto"/>
        <w:bottom w:val="none" w:sz="0" w:space="0" w:color="auto"/>
        <w:right w:val="none" w:sz="0" w:space="0" w:color="auto"/>
      </w:divBdr>
    </w:div>
    <w:div w:id="173224645">
      <w:bodyDiv w:val="1"/>
      <w:marLeft w:val="0"/>
      <w:marRight w:val="0"/>
      <w:marTop w:val="0"/>
      <w:marBottom w:val="0"/>
      <w:divBdr>
        <w:top w:val="none" w:sz="0" w:space="0" w:color="auto"/>
        <w:left w:val="none" w:sz="0" w:space="0" w:color="auto"/>
        <w:bottom w:val="none" w:sz="0" w:space="0" w:color="auto"/>
        <w:right w:val="none" w:sz="0" w:space="0" w:color="auto"/>
      </w:divBdr>
    </w:div>
    <w:div w:id="348413759">
      <w:bodyDiv w:val="1"/>
      <w:marLeft w:val="0"/>
      <w:marRight w:val="0"/>
      <w:marTop w:val="0"/>
      <w:marBottom w:val="0"/>
      <w:divBdr>
        <w:top w:val="none" w:sz="0" w:space="0" w:color="auto"/>
        <w:left w:val="none" w:sz="0" w:space="0" w:color="auto"/>
        <w:bottom w:val="none" w:sz="0" w:space="0" w:color="auto"/>
        <w:right w:val="none" w:sz="0" w:space="0" w:color="auto"/>
      </w:divBdr>
    </w:div>
    <w:div w:id="442110805">
      <w:bodyDiv w:val="1"/>
      <w:marLeft w:val="0"/>
      <w:marRight w:val="0"/>
      <w:marTop w:val="0"/>
      <w:marBottom w:val="0"/>
      <w:divBdr>
        <w:top w:val="none" w:sz="0" w:space="0" w:color="auto"/>
        <w:left w:val="none" w:sz="0" w:space="0" w:color="auto"/>
        <w:bottom w:val="none" w:sz="0" w:space="0" w:color="auto"/>
        <w:right w:val="none" w:sz="0" w:space="0" w:color="auto"/>
      </w:divBdr>
    </w:div>
    <w:div w:id="603150305">
      <w:bodyDiv w:val="1"/>
      <w:marLeft w:val="0"/>
      <w:marRight w:val="0"/>
      <w:marTop w:val="0"/>
      <w:marBottom w:val="0"/>
      <w:divBdr>
        <w:top w:val="none" w:sz="0" w:space="0" w:color="auto"/>
        <w:left w:val="none" w:sz="0" w:space="0" w:color="auto"/>
        <w:bottom w:val="none" w:sz="0" w:space="0" w:color="auto"/>
        <w:right w:val="none" w:sz="0" w:space="0" w:color="auto"/>
      </w:divBdr>
    </w:div>
    <w:div w:id="619259646">
      <w:bodyDiv w:val="1"/>
      <w:marLeft w:val="0"/>
      <w:marRight w:val="0"/>
      <w:marTop w:val="0"/>
      <w:marBottom w:val="0"/>
      <w:divBdr>
        <w:top w:val="none" w:sz="0" w:space="0" w:color="auto"/>
        <w:left w:val="none" w:sz="0" w:space="0" w:color="auto"/>
        <w:bottom w:val="none" w:sz="0" w:space="0" w:color="auto"/>
        <w:right w:val="none" w:sz="0" w:space="0" w:color="auto"/>
      </w:divBdr>
    </w:div>
    <w:div w:id="648438064">
      <w:bodyDiv w:val="1"/>
      <w:marLeft w:val="0"/>
      <w:marRight w:val="0"/>
      <w:marTop w:val="0"/>
      <w:marBottom w:val="0"/>
      <w:divBdr>
        <w:top w:val="none" w:sz="0" w:space="0" w:color="auto"/>
        <w:left w:val="none" w:sz="0" w:space="0" w:color="auto"/>
        <w:bottom w:val="none" w:sz="0" w:space="0" w:color="auto"/>
        <w:right w:val="none" w:sz="0" w:space="0" w:color="auto"/>
      </w:divBdr>
    </w:div>
    <w:div w:id="932057531">
      <w:bodyDiv w:val="1"/>
      <w:marLeft w:val="0"/>
      <w:marRight w:val="0"/>
      <w:marTop w:val="0"/>
      <w:marBottom w:val="0"/>
      <w:divBdr>
        <w:top w:val="none" w:sz="0" w:space="0" w:color="auto"/>
        <w:left w:val="none" w:sz="0" w:space="0" w:color="auto"/>
        <w:bottom w:val="none" w:sz="0" w:space="0" w:color="auto"/>
        <w:right w:val="none" w:sz="0" w:space="0" w:color="auto"/>
      </w:divBdr>
      <w:divsChild>
        <w:div w:id="695928257">
          <w:marLeft w:val="0"/>
          <w:marRight w:val="0"/>
          <w:marTop w:val="0"/>
          <w:marBottom w:val="0"/>
          <w:divBdr>
            <w:top w:val="none" w:sz="0" w:space="0" w:color="auto"/>
            <w:left w:val="none" w:sz="0" w:space="0" w:color="auto"/>
            <w:bottom w:val="none" w:sz="0" w:space="0" w:color="auto"/>
            <w:right w:val="none" w:sz="0" w:space="0" w:color="auto"/>
          </w:divBdr>
        </w:div>
        <w:div w:id="1488474846">
          <w:marLeft w:val="0"/>
          <w:marRight w:val="0"/>
          <w:marTop w:val="0"/>
          <w:marBottom w:val="0"/>
          <w:divBdr>
            <w:top w:val="none" w:sz="0" w:space="0" w:color="auto"/>
            <w:left w:val="none" w:sz="0" w:space="0" w:color="auto"/>
            <w:bottom w:val="none" w:sz="0" w:space="0" w:color="auto"/>
            <w:right w:val="none" w:sz="0" w:space="0" w:color="auto"/>
          </w:divBdr>
        </w:div>
        <w:div w:id="1020161029">
          <w:marLeft w:val="0"/>
          <w:marRight w:val="0"/>
          <w:marTop w:val="0"/>
          <w:marBottom w:val="0"/>
          <w:divBdr>
            <w:top w:val="none" w:sz="0" w:space="0" w:color="auto"/>
            <w:left w:val="none" w:sz="0" w:space="0" w:color="auto"/>
            <w:bottom w:val="none" w:sz="0" w:space="0" w:color="auto"/>
            <w:right w:val="none" w:sz="0" w:space="0" w:color="auto"/>
          </w:divBdr>
        </w:div>
        <w:div w:id="901133008">
          <w:marLeft w:val="0"/>
          <w:marRight w:val="0"/>
          <w:marTop w:val="0"/>
          <w:marBottom w:val="0"/>
          <w:divBdr>
            <w:top w:val="none" w:sz="0" w:space="0" w:color="auto"/>
            <w:left w:val="none" w:sz="0" w:space="0" w:color="auto"/>
            <w:bottom w:val="none" w:sz="0" w:space="0" w:color="auto"/>
            <w:right w:val="none" w:sz="0" w:space="0" w:color="auto"/>
          </w:divBdr>
        </w:div>
        <w:div w:id="1828323363">
          <w:marLeft w:val="0"/>
          <w:marRight w:val="0"/>
          <w:marTop w:val="0"/>
          <w:marBottom w:val="0"/>
          <w:divBdr>
            <w:top w:val="none" w:sz="0" w:space="0" w:color="auto"/>
            <w:left w:val="none" w:sz="0" w:space="0" w:color="auto"/>
            <w:bottom w:val="none" w:sz="0" w:space="0" w:color="auto"/>
            <w:right w:val="none" w:sz="0" w:space="0" w:color="auto"/>
          </w:divBdr>
        </w:div>
        <w:div w:id="1427462635">
          <w:marLeft w:val="0"/>
          <w:marRight w:val="0"/>
          <w:marTop w:val="0"/>
          <w:marBottom w:val="0"/>
          <w:divBdr>
            <w:top w:val="none" w:sz="0" w:space="0" w:color="auto"/>
            <w:left w:val="none" w:sz="0" w:space="0" w:color="auto"/>
            <w:bottom w:val="none" w:sz="0" w:space="0" w:color="auto"/>
            <w:right w:val="none" w:sz="0" w:space="0" w:color="auto"/>
          </w:divBdr>
        </w:div>
        <w:div w:id="533348236">
          <w:marLeft w:val="0"/>
          <w:marRight w:val="0"/>
          <w:marTop w:val="0"/>
          <w:marBottom w:val="0"/>
          <w:divBdr>
            <w:top w:val="none" w:sz="0" w:space="0" w:color="auto"/>
            <w:left w:val="none" w:sz="0" w:space="0" w:color="auto"/>
            <w:bottom w:val="none" w:sz="0" w:space="0" w:color="auto"/>
            <w:right w:val="none" w:sz="0" w:space="0" w:color="auto"/>
          </w:divBdr>
        </w:div>
        <w:div w:id="1991711040">
          <w:marLeft w:val="0"/>
          <w:marRight w:val="0"/>
          <w:marTop w:val="0"/>
          <w:marBottom w:val="0"/>
          <w:divBdr>
            <w:top w:val="none" w:sz="0" w:space="0" w:color="auto"/>
            <w:left w:val="none" w:sz="0" w:space="0" w:color="auto"/>
            <w:bottom w:val="none" w:sz="0" w:space="0" w:color="auto"/>
            <w:right w:val="none" w:sz="0" w:space="0" w:color="auto"/>
          </w:divBdr>
        </w:div>
        <w:div w:id="1225407424">
          <w:marLeft w:val="0"/>
          <w:marRight w:val="0"/>
          <w:marTop w:val="0"/>
          <w:marBottom w:val="0"/>
          <w:divBdr>
            <w:top w:val="none" w:sz="0" w:space="0" w:color="auto"/>
            <w:left w:val="none" w:sz="0" w:space="0" w:color="auto"/>
            <w:bottom w:val="none" w:sz="0" w:space="0" w:color="auto"/>
            <w:right w:val="none" w:sz="0" w:space="0" w:color="auto"/>
          </w:divBdr>
        </w:div>
        <w:div w:id="1198660503">
          <w:marLeft w:val="0"/>
          <w:marRight w:val="0"/>
          <w:marTop w:val="0"/>
          <w:marBottom w:val="0"/>
          <w:divBdr>
            <w:top w:val="none" w:sz="0" w:space="0" w:color="auto"/>
            <w:left w:val="none" w:sz="0" w:space="0" w:color="auto"/>
            <w:bottom w:val="none" w:sz="0" w:space="0" w:color="auto"/>
            <w:right w:val="none" w:sz="0" w:space="0" w:color="auto"/>
          </w:divBdr>
        </w:div>
        <w:div w:id="1893805046">
          <w:marLeft w:val="0"/>
          <w:marRight w:val="0"/>
          <w:marTop w:val="0"/>
          <w:marBottom w:val="0"/>
          <w:divBdr>
            <w:top w:val="none" w:sz="0" w:space="0" w:color="auto"/>
            <w:left w:val="none" w:sz="0" w:space="0" w:color="auto"/>
            <w:bottom w:val="none" w:sz="0" w:space="0" w:color="auto"/>
            <w:right w:val="none" w:sz="0" w:space="0" w:color="auto"/>
          </w:divBdr>
        </w:div>
        <w:div w:id="436146714">
          <w:marLeft w:val="0"/>
          <w:marRight w:val="0"/>
          <w:marTop w:val="0"/>
          <w:marBottom w:val="0"/>
          <w:divBdr>
            <w:top w:val="none" w:sz="0" w:space="0" w:color="auto"/>
            <w:left w:val="none" w:sz="0" w:space="0" w:color="auto"/>
            <w:bottom w:val="none" w:sz="0" w:space="0" w:color="auto"/>
            <w:right w:val="none" w:sz="0" w:space="0" w:color="auto"/>
          </w:divBdr>
        </w:div>
      </w:divsChild>
    </w:div>
    <w:div w:id="1282491412">
      <w:bodyDiv w:val="1"/>
      <w:marLeft w:val="0"/>
      <w:marRight w:val="0"/>
      <w:marTop w:val="0"/>
      <w:marBottom w:val="0"/>
      <w:divBdr>
        <w:top w:val="none" w:sz="0" w:space="0" w:color="auto"/>
        <w:left w:val="none" w:sz="0" w:space="0" w:color="auto"/>
        <w:bottom w:val="none" w:sz="0" w:space="0" w:color="auto"/>
        <w:right w:val="none" w:sz="0" w:space="0" w:color="auto"/>
      </w:divBdr>
    </w:div>
    <w:div w:id="1503739642">
      <w:bodyDiv w:val="1"/>
      <w:marLeft w:val="0"/>
      <w:marRight w:val="0"/>
      <w:marTop w:val="0"/>
      <w:marBottom w:val="0"/>
      <w:divBdr>
        <w:top w:val="none" w:sz="0" w:space="0" w:color="auto"/>
        <w:left w:val="none" w:sz="0" w:space="0" w:color="auto"/>
        <w:bottom w:val="none" w:sz="0" w:space="0" w:color="auto"/>
        <w:right w:val="none" w:sz="0" w:space="0" w:color="auto"/>
      </w:divBdr>
    </w:div>
    <w:div w:id="1514296773">
      <w:bodyDiv w:val="1"/>
      <w:marLeft w:val="0"/>
      <w:marRight w:val="0"/>
      <w:marTop w:val="0"/>
      <w:marBottom w:val="0"/>
      <w:divBdr>
        <w:top w:val="none" w:sz="0" w:space="0" w:color="auto"/>
        <w:left w:val="none" w:sz="0" w:space="0" w:color="auto"/>
        <w:bottom w:val="none" w:sz="0" w:space="0" w:color="auto"/>
        <w:right w:val="none" w:sz="0" w:space="0" w:color="auto"/>
      </w:divBdr>
    </w:div>
    <w:div w:id="1552575906">
      <w:bodyDiv w:val="1"/>
      <w:marLeft w:val="0"/>
      <w:marRight w:val="0"/>
      <w:marTop w:val="0"/>
      <w:marBottom w:val="0"/>
      <w:divBdr>
        <w:top w:val="none" w:sz="0" w:space="0" w:color="auto"/>
        <w:left w:val="none" w:sz="0" w:space="0" w:color="auto"/>
        <w:bottom w:val="none" w:sz="0" w:space="0" w:color="auto"/>
        <w:right w:val="none" w:sz="0" w:space="0" w:color="auto"/>
      </w:divBdr>
    </w:div>
    <w:div w:id="1748839318">
      <w:bodyDiv w:val="1"/>
      <w:marLeft w:val="0"/>
      <w:marRight w:val="0"/>
      <w:marTop w:val="0"/>
      <w:marBottom w:val="0"/>
      <w:divBdr>
        <w:top w:val="none" w:sz="0" w:space="0" w:color="auto"/>
        <w:left w:val="none" w:sz="0" w:space="0" w:color="auto"/>
        <w:bottom w:val="none" w:sz="0" w:space="0" w:color="auto"/>
        <w:right w:val="none" w:sz="0" w:space="0" w:color="auto"/>
      </w:divBdr>
    </w:div>
    <w:div w:id="20065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clerk\Downloads\NW-Liquidity-Manager-Notice-Account-Info-95.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C:\Users\clerk\Downloads\NW-Liquidity-Manager-notice-account-info-sheet.pdf" TargetMode="External"/><Relationship Id="rId17" Type="http://schemas.openxmlformats.org/officeDocument/2006/relationships/hyperlink" Target="https://www.ccla.co.uk/investments/investor/local-authorities" TargetMode="External"/><Relationship Id="rId2" Type="http://schemas.openxmlformats.org/officeDocument/2006/relationships/customXml" Target="../customXml/item2.xml"/><Relationship Id="rId16" Type="http://schemas.openxmlformats.org/officeDocument/2006/relationships/hyperlink" Target="https://www.ccla.co.uk/funds/public-sector-deposit-fund" TargetMode="External"/><Relationship Id="rId20" Type="http://schemas.openxmlformats.org/officeDocument/2006/relationships/hyperlink" Target="https://assets.publishing.service.gov.uk/media/5a74512440f0b646ce8d9b0e/Guidance_on_local_government_investment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5a74512440f0b646ce8d9b0e/Guidance_on_local_government_investments.pdf" TargetMode="External"/><Relationship Id="rId5" Type="http://schemas.openxmlformats.org/officeDocument/2006/relationships/styles" Target="styles.xml"/><Relationship Id="rId15" Type="http://schemas.openxmlformats.org/officeDocument/2006/relationships/hyperlink" Target="https://www.lloydsbank.com/business/savings/fixed-term-deposit.html?WT.ac=lloyds-bb_and_sme-savings-hub-tile-FOM-fixed_term" TargetMode="Externa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clerk\Downloads\NW-Liquidity-Manager-Notice-Account-Info-3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990BF1-BF74-4EEE-9A44-2EAD70883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E9B38-FD27-4A68-9FC3-86587C5715A3}">
  <ds:schemaRefs>
    <ds:schemaRef ds:uri="http://schemas.microsoft.com/sharepoint/v3/contenttype/forms"/>
  </ds:schemaRefs>
</ds:datastoreItem>
</file>

<file path=customXml/itemProps3.xml><?xml version="1.0" encoding="utf-8"?>
<ds:datastoreItem xmlns:ds="http://schemas.openxmlformats.org/officeDocument/2006/customXml" ds:itemID="{82F6CB2D-0CE6-41A0-9D55-F5C1B1AC9D21}">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Bugden</dc:creator>
  <cp:keywords/>
  <dc:description/>
  <cp:lastModifiedBy>Clerk NMPC</cp:lastModifiedBy>
  <cp:revision>4</cp:revision>
  <cp:lastPrinted>2024-02-27T17:11:00Z</cp:lastPrinted>
  <dcterms:created xsi:type="dcterms:W3CDTF">2024-03-28T14:23:00Z</dcterms:created>
  <dcterms:modified xsi:type="dcterms:W3CDTF">2024-03-28T14:23:00Z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