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E4246" w14:textId="6E9266F8" w:rsidR="008657F3" w:rsidRDefault="008657F3"/>
    <w:p w14:paraId="01852F4F" w14:textId="6D749CDF" w:rsidR="008657F3" w:rsidRDefault="008657F3"/>
    <w:p w14:paraId="2DB3198A" w14:textId="4AE7922F" w:rsidR="008657F3" w:rsidRDefault="008657F3"/>
    <w:p w14:paraId="30DFE0C1" w14:textId="17BE1120" w:rsidR="008657F3" w:rsidRDefault="008657F3"/>
    <w:p w14:paraId="71A3B743" w14:textId="30BA7FD9" w:rsidR="008657F3" w:rsidRDefault="008657F3"/>
    <w:p w14:paraId="7DC78111" w14:textId="69AF7630" w:rsidR="008657F3" w:rsidRDefault="008657F3"/>
    <w:p w14:paraId="0B5609F3" w14:textId="1AC14173" w:rsidR="008657F3" w:rsidRDefault="008657F3"/>
    <w:p w14:paraId="686778F2" w14:textId="6497DA77" w:rsidR="008657F3" w:rsidRDefault="008657F3"/>
    <w:p w14:paraId="30A4FF6B" w14:textId="77777777" w:rsidR="008657F3" w:rsidRDefault="008657F3"/>
    <w:p w14:paraId="57AA6F33" w14:textId="77777777" w:rsidR="008657F3" w:rsidRDefault="008657F3">
      <w:pPr>
        <w:rPr>
          <w:b/>
        </w:rPr>
      </w:pPr>
    </w:p>
    <w:p w14:paraId="753E7DBE" w14:textId="77777777" w:rsidR="008657F3" w:rsidRDefault="008657F3">
      <w:pPr>
        <w:rPr>
          <w:b/>
        </w:rPr>
      </w:pPr>
    </w:p>
    <w:p w14:paraId="11032473" w14:textId="77777777" w:rsidR="008657F3" w:rsidRDefault="008657F3">
      <w:pPr>
        <w:rPr>
          <w:b/>
        </w:rPr>
      </w:pPr>
    </w:p>
    <w:p w14:paraId="6F4DA85A" w14:textId="77777777" w:rsidR="008657F3" w:rsidRDefault="008657F3">
      <w:pPr>
        <w:rPr>
          <w:b/>
        </w:rPr>
      </w:pPr>
    </w:p>
    <w:p w14:paraId="718810B3" w14:textId="77777777" w:rsidR="008657F3" w:rsidRDefault="008657F3">
      <w:pPr>
        <w:rPr>
          <w:b/>
        </w:rPr>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209"/>
      </w:tblGrid>
      <w:tr w:rsidR="008657F3" w:rsidRPr="003D158C" w14:paraId="6564EF91" w14:textId="77777777" w:rsidTr="00B510E7">
        <w:tc>
          <w:tcPr>
            <w:tcW w:w="7209" w:type="dxa"/>
            <w:tcMar>
              <w:top w:w="216" w:type="dxa"/>
              <w:left w:w="115" w:type="dxa"/>
              <w:bottom w:w="216" w:type="dxa"/>
              <w:right w:w="115" w:type="dxa"/>
            </w:tcMar>
          </w:tcPr>
          <w:p w14:paraId="509DB8A1" w14:textId="015CF43F" w:rsidR="008657F3" w:rsidRDefault="008657F3" w:rsidP="00391823">
            <w:pPr>
              <w:spacing w:after="0" w:line="240" w:lineRule="auto"/>
              <w:jc w:val="center"/>
              <w:rPr>
                <w:rFonts w:asciiTheme="majorHAnsi" w:hAnsiTheme="majorHAnsi"/>
                <w:b/>
                <w:color w:val="5B9BD5" w:themeColor="accent1"/>
                <w:sz w:val="44"/>
                <w:szCs w:val="44"/>
                <w:lang w:val="en-US"/>
              </w:rPr>
            </w:pPr>
            <w:r>
              <w:rPr>
                <w:noProof/>
              </w:rPr>
              <w:drawing>
                <wp:inline distT="0" distB="0" distL="0" distR="0" wp14:anchorId="6612C091" wp14:editId="2E1EE385">
                  <wp:extent cx="3219396" cy="2113915"/>
                  <wp:effectExtent l="0" t="0" r="635" b="635"/>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M_logo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57498" cy="2138933"/>
                          </a:xfrm>
                          <a:prstGeom prst="rect">
                            <a:avLst/>
                          </a:prstGeom>
                        </pic:spPr>
                      </pic:pic>
                    </a:graphicData>
                  </a:graphic>
                </wp:inline>
              </w:drawing>
            </w:r>
          </w:p>
          <w:p w14:paraId="0BF587BC" w14:textId="7423208C" w:rsidR="008657F3" w:rsidRPr="003D158C" w:rsidRDefault="008657F3" w:rsidP="00B510E7">
            <w:pPr>
              <w:spacing w:after="0" w:line="240" w:lineRule="auto"/>
              <w:rPr>
                <w:color w:val="5B9BD5" w:themeColor="accent1"/>
                <w:szCs w:val="20"/>
                <w:lang w:val="en-US"/>
              </w:rPr>
            </w:pPr>
            <w:r w:rsidRPr="003D158C">
              <w:rPr>
                <w:rFonts w:asciiTheme="majorHAnsi" w:hAnsiTheme="majorHAnsi"/>
                <w:b/>
                <w:color w:val="5B9BD5" w:themeColor="accent1"/>
                <w:sz w:val="44"/>
                <w:szCs w:val="44"/>
                <w:lang w:val="en-US"/>
              </w:rPr>
              <w:t>Nash Mills Parish Council</w:t>
            </w:r>
          </w:p>
        </w:tc>
      </w:tr>
      <w:tr w:rsidR="008657F3" w:rsidRPr="003D158C" w14:paraId="0CB98957" w14:textId="77777777" w:rsidTr="00B510E7">
        <w:tc>
          <w:tcPr>
            <w:tcW w:w="7209" w:type="dxa"/>
          </w:tcPr>
          <w:p w14:paraId="6C477753" w14:textId="5315AF06" w:rsidR="008657F3" w:rsidRPr="003D158C" w:rsidRDefault="008657F3" w:rsidP="00B510E7">
            <w:pPr>
              <w:spacing w:after="0" w:line="216" w:lineRule="auto"/>
              <w:rPr>
                <w:rFonts w:asciiTheme="majorHAnsi" w:eastAsiaTheme="majorEastAsia" w:hAnsiTheme="majorHAnsi" w:cstheme="majorBidi"/>
                <w:b/>
                <w:color w:val="5B9BD5" w:themeColor="accent1"/>
                <w:sz w:val="48"/>
                <w:szCs w:val="48"/>
                <w:lang w:val="en-US"/>
              </w:rPr>
            </w:pPr>
            <w:r w:rsidRPr="003D158C">
              <w:rPr>
                <w:rFonts w:asciiTheme="majorHAnsi" w:eastAsiaTheme="majorEastAsia" w:hAnsiTheme="majorHAnsi" w:cstheme="majorBidi"/>
                <w:b/>
                <w:color w:val="5B9BD5" w:themeColor="accent1"/>
                <w:sz w:val="48"/>
                <w:szCs w:val="48"/>
                <w:lang w:val="en-US"/>
              </w:rPr>
              <w:t>Review of Effectiveness of Internal Audit and Auditor</w:t>
            </w:r>
            <w:r w:rsidR="00EC78A7">
              <w:rPr>
                <w:rFonts w:asciiTheme="majorHAnsi" w:eastAsiaTheme="majorEastAsia" w:hAnsiTheme="majorHAnsi" w:cstheme="majorBidi"/>
                <w:b/>
                <w:color w:val="5B9BD5" w:themeColor="accent1"/>
                <w:sz w:val="48"/>
                <w:szCs w:val="48"/>
                <w:lang w:val="en-US"/>
              </w:rPr>
              <w:t xml:space="preserve"> v3</w:t>
            </w:r>
          </w:p>
        </w:tc>
      </w:tr>
      <w:tr w:rsidR="008657F3" w:rsidRPr="003D158C" w14:paraId="16A4FFDA" w14:textId="77777777" w:rsidTr="00B510E7">
        <w:tc>
          <w:tcPr>
            <w:tcW w:w="7209" w:type="dxa"/>
          </w:tcPr>
          <w:p w14:paraId="44D68E85" w14:textId="77777777" w:rsidR="008657F3" w:rsidRPr="003D158C" w:rsidRDefault="008657F3" w:rsidP="00B510E7">
            <w:pPr>
              <w:rPr>
                <w:color w:val="5B9BD5" w:themeColor="accent1"/>
              </w:rPr>
            </w:pPr>
          </w:p>
          <w:tbl>
            <w:tblPr>
              <w:tblStyle w:val="TableGrid"/>
              <w:tblW w:w="0" w:type="auto"/>
              <w:tblLook w:val="04A0" w:firstRow="1" w:lastRow="0" w:firstColumn="1" w:lastColumn="0" w:noHBand="0" w:noVBand="1"/>
            </w:tblPr>
            <w:tblGrid>
              <w:gridCol w:w="3167"/>
              <w:gridCol w:w="3167"/>
            </w:tblGrid>
            <w:tr w:rsidR="008657F3" w:rsidRPr="003D158C" w14:paraId="1AC92FBF" w14:textId="77777777" w:rsidTr="008657F3">
              <w:trPr>
                <w:trHeight w:val="458"/>
              </w:trPr>
              <w:tc>
                <w:tcPr>
                  <w:tcW w:w="3167" w:type="dxa"/>
                </w:tcPr>
                <w:p w14:paraId="76265BD4" w14:textId="77777777" w:rsidR="008657F3" w:rsidRPr="003D158C" w:rsidRDefault="008657F3" w:rsidP="009D5F6F">
                  <w:pPr>
                    <w:framePr w:hSpace="187" w:wrap="around" w:hAnchor="margin" w:xAlign="center" w:y="2881"/>
                    <w:spacing w:line="216" w:lineRule="auto"/>
                    <w:rPr>
                      <w:rFonts w:asciiTheme="majorHAnsi" w:eastAsiaTheme="majorEastAsia" w:hAnsiTheme="majorHAnsi" w:cstheme="majorHAnsi"/>
                      <w:b/>
                      <w:color w:val="5B9BD5" w:themeColor="accent1"/>
                      <w:sz w:val="36"/>
                      <w:szCs w:val="36"/>
                      <w:lang w:val="en-US"/>
                    </w:rPr>
                  </w:pPr>
                  <w:r w:rsidRPr="003D158C">
                    <w:rPr>
                      <w:rFonts w:asciiTheme="majorHAnsi" w:eastAsiaTheme="majorEastAsia" w:hAnsiTheme="majorHAnsi" w:cstheme="majorHAnsi"/>
                      <w:b/>
                      <w:color w:val="5B9BD5" w:themeColor="accent1"/>
                      <w:sz w:val="36"/>
                      <w:szCs w:val="36"/>
                      <w:lang w:val="en-US"/>
                    </w:rPr>
                    <w:t>Adopted</w:t>
                  </w:r>
                </w:p>
              </w:tc>
              <w:tc>
                <w:tcPr>
                  <w:tcW w:w="3167" w:type="dxa"/>
                </w:tcPr>
                <w:p w14:paraId="389DDA37" w14:textId="009BF57C" w:rsidR="008657F3" w:rsidRPr="003D158C" w:rsidRDefault="007051B7" w:rsidP="009D5F6F">
                  <w:pPr>
                    <w:framePr w:hSpace="187" w:wrap="around" w:hAnchor="margin" w:xAlign="center" w:y="2881"/>
                    <w:spacing w:line="216" w:lineRule="auto"/>
                    <w:rPr>
                      <w:rFonts w:asciiTheme="majorHAnsi" w:eastAsiaTheme="majorEastAsia" w:hAnsiTheme="majorHAnsi" w:cstheme="majorHAnsi"/>
                      <w:b/>
                      <w:color w:val="5B9BD5" w:themeColor="accent1"/>
                      <w:sz w:val="36"/>
                      <w:szCs w:val="36"/>
                      <w:lang w:val="en-US"/>
                    </w:rPr>
                  </w:pPr>
                  <w:r>
                    <w:rPr>
                      <w:rFonts w:asciiTheme="majorHAnsi" w:eastAsiaTheme="majorEastAsia" w:hAnsiTheme="majorHAnsi" w:cstheme="majorHAnsi"/>
                      <w:b/>
                      <w:color w:val="5B9BD5" w:themeColor="accent1"/>
                      <w:sz w:val="36"/>
                      <w:szCs w:val="36"/>
                      <w:lang w:val="en-US"/>
                    </w:rPr>
                    <w:t>June 2020</w:t>
                  </w:r>
                </w:p>
              </w:tc>
            </w:tr>
            <w:tr w:rsidR="008657F3" w:rsidRPr="003D158C" w14:paraId="5220B623" w14:textId="77777777" w:rsidTr="008657F3">
              <w:trPr>
                <w:trHeight w:val="481"/>
              </w:trPr>
              <w:tc>
                <w:tcPr>
                  <w:tcW w:w="3167" w:type="dxa"/>
                </w:tcPr>
                <w:p w14:paraId="33397BF8" w14:textId="77777777" w:rsidR="008657F3" w:rsidRPr="003D158C" w:rsidRDefault="008657F3" w:rsidP="009D5F6F">
                  <w:pPr>
                    <w:framePr w:hSpace="187" w:wrap="around" w:hAnchor="margin" w:xAlign="center" w:y="2881"/>
                    <w:spacing w:line="216" w:lineRule="auto"/>
                    <w:rPr>
                      <w:rFonts w:asciiTheme="majorHAnsi" w:eastAsiaTheme="majorEastAsia" w:hAnsiTheme="majorHAnsi" w:cstheme="majorHAnsi"/>
                      <w:b/>
                      <w:color w:val="5B9BD5" w:themeColor="accent1"/>
                      <w:sz w:val="36"/>
                      <w:szCs w:val="36"/>
                      <w:lang w:val="en-US"/>
                    </w:rPr>
                  </w:pPr>
                  <w:r w:rsidRPr="003D158C">
                    <w:rPr>
                      <w:rFonts w:asciiTheme="majorHAnsi" w:eastAsiaTheme="majorEastAsia" w:hAnsiTheme="majorHAnsi" w:cstheme="majorHAnsi"/>
                      <w:b/>
                      <w:color w:val="5B9BD5" w:themeColor="accent1"/>
                      <w:sz w:val="36"/>
                      <w:szCs w:val="36"/>
                      <w:lang w:val="en-US"/>
                    </w:rPr>
                    <w:t>Agenda Reference</w:t>
                  </w:r>
                </w:p>
              </w:tc>
              <w:tc>
                <w:tcPr>
                  <w:tcW w:w="3167" w:type="dxa"/>
                </w:tcPr>
                <w:p w14:paraId="3F559ACE" w14:textId="24AF6BC3" w:rsidR="008657F3" w:rsidRPr="003D158C" w:rsidRDefault="007051B7" w:rsidP="009D5F6F">
                  <w:pPr>
                    <w:framePr w:hSpace="187" w:wrap="around" w:hAnchor="margin" w:xAlign="center" w:y="2881"/>
                    <w:spacing w:line="216" w:lineRule="auto"/>
                    <w:rPr>
                      <w:rFonts w:asciiTheme="majorHAnsi" w:eastAsiaTheme="majorEastAsia" w:hAnsiTheme="majorHAnsi" w:cstheme="majorHAnsi"/>
                      <w:b/>
                      <w:color w:val="5B9BD5" w:themeColor="accent1"/>
                      <w:sz w:val="36"/>
                      <w:szCs w:val="36"/>
                      <w:lang w:val="en-US"/>
                    </w:rPr>
                  </w:pPr>
                  <w:r>
                    <w:rPr>
                      <w:rFonts w:asciiTheme="majorHAnsi" w:eastAsiaTheme="majorEastAsia" w:hAnsiTheme="majorHAnsi" w:cstheme="majorHAnsi"/>
                      <w:b/>
                      <w:color w:val="5B9BD5" w:themeColor="accent1"/>
                      <w:sz w:val="36"/>
                      <w:szCs w:val="36"/>
                      <w:lang w:val="en-US"/>
                    </w:rPr>
                    <w:t>20/086/FPC</w:t>
                  </w:r>
                </w:p>
              </w:tc>
            </w:tr>
            <w:tr w:rsidR="008657F3" w:rsidRPr="003D158C" w14:paraId="375AA801" w14:textId="77777777" w:rsidTr="008657F3">
              <w:trPr>
                <w:trHeight w:val="481"/>
              </w:trPr>
              <w:tc>
                <w:tcPr>
                  <w:tcW w:w="3167" w:type="dxa"/>
                </w:tcPr>
                <w:p w14:paraId="4BF84CBB" w14:textId="77777777" w:rsidR="008657F3" w:rsidRPr="003D158C" w:rsidRDefault="008657F3" w:rsidP="009D5F6F">
                  <w:pPr>
                    <w:framePr w:hSpace="187" w:wrap="around" w:hAnchor="margin" w:xAlign="center" w:y="2881"/>
                    <w:spacing w:line="216" w:lineRule="auto"/>
                    <w:rPr>
                      <w:rFonts w:asciiTheme="majorHAnsi" w:eastAsiaTheme="majorEastAsia" w:hAnsiTheme="majorHAnsi" w:cstheme="majorHAnsi"/>
                      <w:b/>
                      <w:color w:val="5B9BD5" w:themeColor="accent1"/>
                      <w:sz w:val="36"/>
                      <w:szCs w:val="36"/>
                      <w:lang w:val="en-US"/>
                    </w:rPr>
                  </w:pPr>
                  <w:r w:rsidRPr="003D158C">
                    <w:rPr>
                      <w:rFonts w:asciiTheme="majorHAnsi" w:eastAsiaTheme="majorEastAsia" w:hAnsiTheme="majorHAnsi" w:cstheme="majorHAnsi"/>
                      <w:b/>
                      <w:color w:val="5B9BD5" w:themeColor="accent1"/>
                      <w:sz w:val="36"/>
                      <w:szCs w:val="36"/>
                      <w:lang w:val="en-US"/>
                    </w:rPr>
                    <w:t>Review Date</w:t>
                  </w:r>
                </w:p>
              </w:tc>
              <w:tc>
                <w:tcPr>
                  <w:tcW w:w="3167" w:type="dxa"/>
                </w:tcPr>
                <w:p w14:paraId="0FA490FB" w14:textId="7F5C3A81" w:rsidR="008657F3" w:rsidRPr="003D158C" w:rsidRDefault="00710CEC" w:rsidP="009D5F6F">
                  <w:pPr>
                    <w:framePr w:hSpace="187" w:wrap="around" w:hAnchor="margin" w:xAlign="center" w:y="2881"/>
                    <w:spacing w:line="216" w:lineRule="auto"/>
                    <w:rPr>
                      <w:rFonts w:asciiTheme="majorHAnsi" w:eastAsiaTheme="majorEastAsia" w:hAnsiTheme="majorHAnsi" w:cstheme="majorHAnsi"/>
                      <w:b/>
                      <w:color w:val="5B9BD5" w:themeColor="accent1"/>
                      <w:sz w:val="36"/>
                      <w:szCs w:val="36"/>
                      <w:lang w:val="en-US"/>
                    </w:rPr>
                  </w:pPr>
                  <w:r>
                    <w:rPr>
                      <w:rFonts w:asciiTheme="majorHAnsi" w:eastAsiaTheme="majorEastAsia" w:hAnsiTheme="majorHAnsi" w:cstheme="majorHAnsi"/>
                      <w:b/>
                      <w:color w:val="5B9BD5" w:themeColor="accent1"/>
                      <w:sz w:val="36"/>
                      <w:szCs w:val="36"/>
                      <w:lang w:val="en-US"/>
                    </w:rPr>
                    <w:t>Nov/Dec 2020</w:t>
                  </w:r>
                </w:p>
              </w:tc>
            </w:tr>
          </w:tbl>
          <w:p w14:paraId="2BEBF865" w14:textId="77777777" w:rsidR="008657F3" w:rsidRPr="003D158C" w:rsidRDefault="008657F3" w:rsidP="00B510E7">
            <w:pPr>
              <w:spacing w:after="0" w:line="216" w:lineRule="auto"/>
              <w:rPr>
                <w:rFonts w:asciiTheme="majorHAnsi" w:eastAsiaTheme="majorEastAsia" w:hAnsiTheme="majorHAnsi" w:cstheme="majorBidi"/>
                <w:color w:val="5B9BD5" w:themeColor="accent1"/>
                <w:sz w:val="36"/>
                <w:szCs w:val="36"/>
                <w:lang w:val="en-US"/>
              </w:rPr>
            </w:pPr>
          </w:p>
        </w:tc>
      </w:tr>
    </w:tbl>
    <w:p w14:paraId="12237446" w14:textId="2D2AD843" w:rsidR="00993A08" w:rsidRDefault="00993A08" w:rsidP="00993A08">
      <w:pPr>
        <w:rPr>
          <w:b/>
        </w:rPr>
      </w:pPr>
      <w:r>
        <w:rPr>
          <w:b/>
        </w:rPr>
        <w:br w:type="page"/>
      </w:r>
      <w:r>
        <w:rPr>
          <w:b/>
        </w:rPr>
        <w:lastRenderedPageBreak/>
        <w:t>I</w:t>
      </w:r>
      <w:r w:rsidRPr="004C6B5D">
        <w:rPr>
          <w:b/>
        </w:rPr>
        <w:t>ntroduction</w:t>
      </w:r>
    </w:p>
    <w:p w14:paraId="0FDCA1CA" w14:textId="77777777" w:rsidR="003D158C" w:rsidRDefault="003D158C" w:rsidP="003D158C">
      <w:r>
        <w:t>In association with the monitoring and approval of the system of internal control, Nash Mills Parish Council must also review the effectiveness of the internal audit and auditor each financial year.</w:t>
      </w:r>
    </w:p>
    <w:p w14:paraId="6D647B90" w14:textId="03A45E44" w:rsidR="00CF1BB0" w:rsidRDefault="004C6B5D">
      <w:r w:rsidRPr="00CF1BB0">
        <w:rPr>
          <w:b/>
          <w:i/>
        </w:rPr>
        <w:t>The Account and Audit Regulations 2015</w:t>
      </w:r>
      <w:r>
        <w:t xml:space="preserve"> require </w:t>
      </w:r>
      <w:r w:rsidR="00CF1BB0">
        <w:t>c</w:t>
      </w:r>
      <w:r>
        <w:t xml:space="preserve">ouncils to ensure that an effective system of internal control and audit is in place and is reviewed to enable </w:t>
      </w:r>
      <w:r w:rsidR="00CF1BB0">
        <w:t>Nash Mills Parish Council</w:t>
      </w:r>
      <w:r>
        <w:t xml:space="preserve"> to positively answer all assertions in the AGAR (Annual </w:t>
      </w:r>
      <w:r w:rsidR="00CF1BB0">
        <w:t>G</w:t>
      </w:r>
      <w:r>
        <w:t xml:space="preserve">overnance and Accountability </w:t>
      </w:r>
      <w:r w:rsidR="00CF1BB0">
        <w:t>R</w:t>
      </w:r>
      <w:r>
        <w:t>eturn).</w:t>
      </w:r>
    </w:p>
    <w:p w14:paraId="47168512" w14:textId="5932F628" w:rsidR="00CF1BB0" w:rsidRPr="00CF1BB0" w:rsidRDefault="00CF1BB0">
      <w:pPr>
        <w:rPr>
          <w:b/>
          <w:i/>
        </w:rPr>
      </w:pPr>
      <w:r w:rsidRPr="00CD6DE4">
        <w:rPr>
          <w:b/>
          <w:i/>
          <w:u w:val="single"/>
        </w:rPr>
        <w:t>Assertion 6 Internal Audit</w:t>
      </w:r>
    </w:p>
    <w:p w14:paraId="5F4E427E" w14:textId="131A3792" w:rsidR="00CF1BB0" w:rsidRDefault="00CF1BB0">
      <w:pPr>
        <w:rPr>
          <w:b/>
          <w:i/>
        </w:rPr>
      </w:pPr>
      <w:r w:rsidRPr="00CF1BB0">
        <w:rPr>
          <w:b/>
          <w:i/>
        </w:rPr>
        <w:t>We maintained throughout the year an adequate and effective system of internal audit of the accounting records and control systems.</w:t>
      </w:r>
    </w:p>
    <w:p w14:paraId="214C6CAA" w14:textId="6FD2AA1D" w:rsidR="00CF1BB0" w:rsidRPr="00CD6DE4" w:rsidRDefault="00CD6DE4">
      <w:pPr>
        <w:rPr>
          <w:b/>
          <w:i/>
          <w:u w:val="single"/>
        </w:rPr>
      </w:pPr>
      <w:r w:rsidRPr="00CD6DE4">
        <w:rPr>
          <w:b/>
          <w:i/>
          <w:u w:val="single"/>
        </w:rPr>
        <w:t>A</w:t>
      </w:r>
      <w:r w:rsidR="00CF1BB0" w:rsidRPr="00CD6DE4">
        <w:rPr>
          <w:b/>
          <w:i/>
          <w:u w:val="single"/>
        </w:rPr>
        <w:t>ssertion 7 Reports from Auditors</w:t>
      </w:r>
    </w:p>
    <w:p w14:paraId="525A0CCD" w14:textId="293C86C7" w:rsidR="00CF1BB0" w:rsidRDefault="00CF1BB0">
      <w:pPr>
        <w:rPr>
          <w:b/>
          <w:i/>
        </w:rPr>
      </w:pPr>
      <w:r>
        <w:rPr>
          <w:b/>
          <w:i/>
        </w:rPr>
        <w:t>We too</w:t>
      </w:r>
      <w:r w:rsidR="00CD6DE4">
        <w:rPr>
          <w:b/>
          <w:i/>
        </w:rPr>
        <w:t xml:space="preserve">k </w:t>
      </w:r>
      <w:r>
        <w:rPr>
          <w:b/>
          <w:i/>
        </w:rPr>
        <w:t>appropriate action on all matters raised in reports from internal and external audit.</w:t>
      </w:r>
    </w:p>
    <w:p w14:paraId="764D7401" w14:textId="7EC81C97" w:rsidR="00CF1BB0" w:rsidRDefault="00CF1BB0">
      <w:r>
        <w:t>Last Year NMPC appointed Philip Rhoden of Etaerio as Internal Auditor.</w:t>
      </w:r>
    </w:p>
    <w:p w14:paraId="2A8263AA" w14:textId="14684267" w:rsidR="00CF1BB0" w:rsidRDefault="00CF1BB0">
      <w:r>
        <w:t>The external Auditor is appointed centrally.</w:t>
      </w:r>
    </w:p>
    <w:tbl>
      <w:tblPr>
        <w:tblStyle w:val="TableGrid"/>
        <w:tblW w:w="10916" w:type="dxa"/>
        <w:tblInd w:w="-998" w:type="dxa"/>
        <w:tblLook w:val="04A0" w:firstRow="1" w:lastRow="0" w:firstColumn="1" w:lastColumn="0" w:noHBand="0" w:noVBand="1"/>
      </w:tblPr>
      <w:tblGrid>
        <w:gridCol w:w="4112"/>
        <w:gridCol w:w="3511"/>
        <w:gridCol w:w="3293"/>
      </w:tblGrid>
      <w:tr w:rsidR="003D158C" w:rsidRPr="00E82AA1" w14:paraId="0FAA5529" w14:textId="77777777" w:rsidTr="003D158C">
        <w:tc>
          <w:tcPr>
            <w:tcW w:w="10916" w:type="dxa"/>
            <w:gridSpan w:val="3"/>
            <w:shd w:val="clear" w:color="auto" w:fill="E7E6E6" w:themeFill="background2"/>
          </w:tcPr>
          <w:p w14:paraId="676E5B1D" w14:textId="036ADFBC" w:rsidR="003D158C" w:rsidRPr="00E82AA1" w:rsidRDefault="003D158C">
            <w:r w:rsidRPr="00E82AA1">
              <w:rPr>
                <w:b/>
              </w:rPr>
              <w:t>Meeting the standards</w:t>
            </w:r>
          </w:p>
        </w:tc>
      </w:tr>
      <w:tr w:rsidR="009853EE" w:rsidRPr="00E82AA1" w14:paraId="3A094777" w14:textId="77777777" w:rsidTr="00CF1BB0">
        <w:tc>
          <w:tcPr>
            <w:tcW w:w="4112" w:type="dxa"/>
          </w:tcPr>
          <w:p w14:paraId="41349B08" w14:textId="70663801" w:rsidR="009853EE" w:rsidRPr="003D158C" w:rsidRDefault="009853EE" w:rsidP="003D158C">
            <w:pPr>
              <w:jc w:val="center"/>
              <w:rPr>
                <w:b/>
              </w:rPr>
            </w:pPr>
            <w:r w:rsidRPr="003D158C">
              <w:rPr>
                <w:b/>
              </w:rPr>
              <w:t>Expected Standard</w:t>
            </w:r>
          </w:p>
        </w:tc>
        <w:tc>
          <w:tcPr>
            <w:tcW w:w="3511" w:type="dxa"/>
          </w:tcPr>
          <w:p w14:paraId="32A041DF" w14:textId="77777777" w:rsidR="009853EE" w:rsidRPr="003D158C" w:rsidRDefault="009853EE" w:rsidP="003D158C">
            <w:pPr>
              <w:jc w:val="center"/>
              <w:rPr>
                <w:b/>
              </w:rPr>
            </w:pPr>
            <w:r w:rsidRPr="003D158C">
              <w:rPr>
                <w:b/>
              </w:rPr>
              <w:t>Evidence of Achievement</w:t>
            </w:r>
          </w:p>
        </w:tc>
        <w:tc>
          <w:tcPr>
            <w:tcW w:w="3293" w:type="dxa"/>
          </w:tcPr>
          <w:p w14:paraId="64F8DB7D" w14:textId="18AC6804" w:rsidR="009853EE" w:rsidRPr="003D158C" w:rsidRDefault="00CF1BB0" w:rsidP="003D158C">
            <w:pPr>
              <w:jc w:val="center"/>
              <w:rPr>
                <w:b/>
              </w:rPr>
            </w:pPr>
            <w:r w:rsidRPr="003D158C">
              <w:rPr>
                <w:b/>
              </w:rPr>
              <w:t>Is this standard achieved/needs</w:t>
            </w:r>
          </w:p>
        </w:tc>
      </w:tr>
      <w:tr w:rsidR="009853EE" w:rsidRPr="00E82AA1" w14:paraId="1DA77785" w14:textId="77777777" w:rsidTr="00CF1BB0">
        <w:tc>
          <w:tcPr>
            <w:tcW w:w="4112" w:type="dxa"/>
          </w:tcPr>
          <w:p w14:paraId="11078024" w14:textId="77777777" w:rsidR="009853EE" w:rsidRPr="00E82AA1" w:rsidRDefault="009853EE" w:rsidP="009853EE">
            <w:pPr>
              <w:pStyle w:val="ListParagraph"/>
              <w:numPr>
                <w:ilvl w:val="0"/>
                <w:numId w:val="1"/>
              </w:numPr>
              <w:ind w:left="313" w:hanging="284"/>
            </w:pPr>
            <w:r w:rsidRPr="00E82AA1">
              <w:t>Scope of internal audit</w:t>
            </w:r>
          </w:p>
        </w:tc>
        <w:tc>
          <w:tcPr>
            <w:tcW w:w="3511" w:type="dxa"/>
          </w:tcPr>
          <w:p w14:paraId="02AC0E61" w14:textId="77777777" w:rsidR="009853EE" w:rsidRPr="00E82AA1" w:rsidRDefault="009853EE">
            <w:r w:rsidRPr="00E82AA1">
              <w:t>Scope of audit work takes into account risk management processes and wider internal control.</w:t>
            </w:r>
          </w:p>
          <w:p w14:paraId="6D5A239D" w14:textId="674464C5" w:rsidR="009853EE" w:rsidRPr="00E82AA1" w:rsidRDefault="009853EE">
            <w:r w:rsidRPr="00E82AA1">
              <w:t xml:space="preserve">Terms of reference </w:t>
            </w:r>
            <w:r w:rsidR="003D4AEC" w:rsidRPr="00E82AA1">
              <w:t xml:space="preserve">and financial regulations </w:t>
            </w:r>
            <w:r w:rsidRPr="00E82AA1">
              <w:t>define responsibilities in relation to</w:t>
            </w:r>
            <w:r w:rsidR="003D4AEC" w:rsidRPr="00E82AA1">
              <w:t xml:space="preserve"> preventing</w:t>
            </w:r>
            <w:r w:rsidRPr="00E82AA1">
              <w:t xml:space="preserve"> fraud.</w:t>
            </w:r>
          </w:p>
          <w:p w14:paraId="1DB05A49" w14:textId="53A2DF31" w:rsidR="003D4AEC" w:rsidRPr="00E82AA1" w:rsidRDefault="003D4AEC">
            <w:r w:rsidRPr="00E82AA1">
              <w:t xml:space="preserve">NMPC appointed Phillip </w:t>
            </w:r>
            <w:proofErr w:type="spellStart"/>
            <w:r w:rsidRPr="00E82AA1">
              <w:t>Roden</w:t>
            </w:r>
            <w:proofErr w:type="spellEnd"/>
            <w:r w:rsidRPr="00E82AA1">
              <w:t xml:space="preserve"> @ Etaerio for</w:t>
            </w:r>
            <w:r w:rsidR="00993A08">
              <w:t xml:space="preserve"> 2</w:t>
            </w:r>
            <w:r w:rsidR="00E17CA6">
              <w:t>019/20</w:t>
            </w:r>
            <w:r w:rsidRPr="00E82AA1">
              <w:t xml:space="preserve">audit Minute ref </w:t>
            </w:r>
            <w:r w:rsidR="00E741D6" w:rsidRPr="00403A76">
              <w:rPr>
                <w:rFonts w:cstheme="minorHAnsi"/>
                <w:b/>
                <w:color w:val="000000" w:themeColor="text1"/>
              </w:rPr>
              <w:t xml:space="preserve">20/011/FPC    </w:t>
            </w:r>
          </w:p>
        </w:tc>
        <w:tc>
          <w:tcPr>
            <w:tcW w:w="3293" w:type="dxa"/>
          </w:tcPr>
          <w:p w14:paraId="11845B19" w14:textId="070765C9" w:rsidR="009853EE" w:rsidRPr="002F2A8D" w:rsidRDefault="00993A08">
            <w:pPr>
              <w:rPr>
                <w:highlight w:val="yellow"/>
              </w:rPr>
            </w:pPr>
            <w:r w:rsidRPr="002F2A8D">
              <w:rPr>
                <w:highlight w:val="yellow"/>
              </w:rPr>
              <w:t>Need to approve auditor for 20</w:t>
            </w:r>
            <w:r w:rsidR="00B46D4A" w:rsidRPr="002F2A8D">
              <w:rPr>
                <w:highlight w:val="yellow"/>
              </w:rPr>
              <w:t>20/21 later in 2020</w:t>
            </w:r>
          </w:p>
        </w:tc>
      </w:tr>
      <w:tr w:rsidR="009853EE" w:rsidRPr="00E82AA1" w14:paraId="00E14A84" w14:textId="77777777" w:rsidTr="00CF1BB0">
        <w:tc>
          <w:tcPr>
            <w:tcW w:w="4112" w:type="dxa"/>
          </w:tcPr>
          <w:p w14:paraId="3CA0EDF4" w14:textId="77777777" w:rsidR="009853EE" w:rsidRPr="00E82AA1" w:rsidRDefault="009853EE" w:rsidP="009853EE">
            <w:pPr>
              <w:pStyle w:val="ListParagraph"/>
              <w:numPr>
                <w:ilvl w:val="0"/>
                <w:numId w:val="1"/>
              </w:numPr>
              <w:ind w:left="454" w:hanging="425"/>
            </w:pPr>
            <w:r w:rsidRPr="00E82AA1">
              <w:t>Independence</w:t>
            </w:r>
          </w:p>
        </w:tc>
        <w:tc>
          <w:tcPr>
            <w:tcW w:w="3511" w:type="dxa"/>
          </w:tcPr>
          <w:p w14:paraId="04D56BCE" w14:textId="77777777" w:rsidR="009853EE" w:rsidRPr="00E82AA1" w:rsidRDefault="009853EE">
            <w:r w:rsidRPr="00E82AA1">
              <w:t>Internal Auditor has direct access to RFO.</w:t>
            </w:r>
          </w:p>
          <w:p w14:paraId="0A95803A" w14:textId="77777777" w:rsidR="009853EE" w:rsidRPr="00E82AA1" w:rsidRDefault="009853EE">
            <w:r w:rsidRPr="00E82AA1">
              <w:t>Reports are made in own name to management.</w:t>
            </w:r>
          </w:p>
          <w:p w14:paraId="2464E200" w14:textId="77777777" w:rsidR="009853EE" w:rsidRPr="00E82AA1" w:rsidRDefault="009853EE">
            <w:r w:rsidRPr="00E82AA1">
              <w:t>Auditor does not have any other role within the council.</w:t>
            </w:r>
          </w:p>
        </w:tc>
        <w:tc>
          <w:tcPr>
            <w:tcW w:w="3293" w:type="dxa"/>
          </w:tcPr>
          <w:p w14:paraId="4D3EE4EE" w14:textId="0B93D087" w:rsidR="009853EE" w:rsidRPr="00E82AA1" w:rsidRDefault="00993A08">
            <w:r>
              <w:t>yes</w:t>
            </w:r>
          </w:p>
        </w:tc>
      </w:tr>
      <w:tr w:rsidR="009853EE" w:rsidRPr="00E82AA1" w14:paraId="17460A5F" w14:textId="77777777" w:rsidTr="00CF1BB0">
        <w:tc>
          <w:tcPr>
            <w:tcW w:w="4112" w:type="dxa"/>
          </w:tcPr>
          <w:p w14:paraId="5DF46B70" w14:textId="77777777" w:rsidR="009853EE" w:rsidRPr="00E82AA1" w:rsidRDefault="009853EE" w:rsidP="00401370">
            <w:pPr>
              <w:pStyle w:val="ListParagraph"/>
              <w:numPr>
                <w:ilvl w:val="0"/>
                <w:numId w:val="1"/>
              </w:numPr>
              <w:ind w:left="454" w:hanging="454"/>
            </w:pPr>
            <w:r w:rsidRPr="00E82AA1">
              <w:t>Competence</w:t>
            </w:r>
          </w:p>
        </w:tc>
        <w:tc>
          <w:tcPr>
            <w:tcW w:w="3511" w:type="dxa"/>
          </w:tcPr>
          <w:p w14:paraId="04CA9E74" w14:textId="77777777" w:rsidR="00401370" w:rsidRPr="00E82AA1" w:rsidRDefault="00401370">
            <w:r w:rsidRPr="00E82AA1">
              <w:t>No evidence that internal work has not been carried out ethically, with integrity and objectivity.</w:t>
            </w:r>
          </w:p>
          <w:p w14:paraId="6C2D8342" w14:textId="77777777" w:rsidR="00401370" w:rsidRPr="00E82AA1" w:rsidRDefault="00401370">
            <w:r w:rsidRPr="00E82AA1">
              <w:t>Internal auditor familiar with governance processes and accounting regulations for parish councils</w:t>
            </w:r>
          </w:p>
          <w:p w14:paraId="291160E1" w14:textId="5C82A413" w:rsidR="009853EE" w:rsidRPr="00E82AA1" w:rsidRDefault="00401370">
            <w:r w:rsidRPr="00E82AA1">
              <w:t xml:space="preserve">Qualification: </w:t>
            </w:r>
            <w:r w:rsidR="00E82AA1" w:rsidRPr="00E82AA1">
              <w:t xml:space="preserve"> ICAEW</w:t>
            </w:r>
          </w:p>
        </w:tc>
        <w:tc>
          <w:tcPr>
            <w:tcW w:w="3293" w:type="dxa"/>
          </w:tcPr>
          <w:p w14:paraId="29E0F181" w14:textId="0FC976E7" w:rsidR="009853EE" w:rsidRDefault="00993A08">
            <w:r>
              <w:t>Yes (previous experience on DBC audit panel when it was all audited by DBC before it was disbanded).</w:t>
            </w:r>
          </w:p>
          <w:p w14:paraId="1ABE72C7" w14:textId="6D1B39DB" w:rsidR="00993A08" w:rsidRPr="00E82AA1" w:rsidRDefault="00993A08">
            <w:r>
              <w:t>Has been NMPC auditor for a number of years.</w:t>
            </w:r>
          </w:p>
        </w:tc>
      </w:tr>
      <w:tr w:rsidR="009853EE" w:rsidRPr="00E82AA1" w14:paraId="7F96F950" w14:textId="77777777" w:rsidTr="00CF1BB0">
        <w:tc>
          <w:tcPr>
            <w:tcW w:w="4112" w:type="dxa"/>
          </w:tcPr>
          <w:p w14:paraId="75089C53" w14:textId="77777777" w:rsidR="009853EE" w:rsidRPr="00E82AA1" w:rsidRDefault="00401370" w:rsidP="00401370">
            <w:pPr>
              <w:pStyle w:val="ListParagraph"/>
              <w:numPr>
                <w:ilvl w:val="0"/>
                <w:numId w:val="1"/>
              </w:numPr>
              <w:ind w:left="454" w:hanging="425"/>
            </w:pPr>
            <w:r w:rsidRPr="00E82AA1">
              <w:t>Relationships</w:t>
            </w:r>
          </w:p>
        </w:tc>
        <w:tc>
          <w:tcPr>
            <w:tcW w:w="3511" w:type="dxa"/>
          </w:tcPr>
          <w:p w14:paraId="666216BC" w14:textId="77777777" w:rsidR="009853EE" w:rsidRPr="00E82AA1" w:rsidRDefault="00401370">
            <w:r w:rsidRPr="00E82AA1">
              <w:t>Clerk/RFO and councillors are consulted on the internal audit plan and on the scope of each audit.</w:t>
            </w:r>
          </w:p>
          <w:p w14:paraId="5C0F0A6E" w14:textId="77777777" w:rsidR="00401370" w:rsidRPr="00E82AA1" w:rsidRDefault="00401370">
            <w:r w:rsidRPr="00E82AA1">
              <w:t>Responsibilities for officers and internal audit are defined in relation to internal control, risk management and fraud and corruption matters.</w:t>
            </w:r>
          </w:p>
          <w:p w14:paraId="480FF986" w14:textId="1E8F9C16" w:rsidR="00401370" w:rsidRPr="00E82AA1" w:rsidRDefault="00401370">
            <w:r w:rsidRPr="00E82AA1">
              <w:lastRenderedPageBreak/>
              <w:t xml:space="preserve">The responsibilities of council members are </w:t>
            </w:r>
            <w:r w:rsidR="00993A08" w:rsidRPr="00E82AA1">
              <w:t>understood,</w:t>
            </w:r>
            <w:r w:rsidRPr="00E82AA1">
              <w:t xml:space="preserve"> and training carried out as necessary.</w:t>
            </w:r>
          </w:p>
        </w:tc>
        <w:tc>
          <w:tcPr>
            <w:tcW w:w="3293" w:type="dxa"/>
          </w:tcPr>
          <w:p w14:paraId="1A6C11CF" w14:textId="30D56BF5" w:rsidR="003D158C" w:rsidRDefault="003D158C">
            <w:r>
              <w:lastRenderedPageBreak/>
              <w:t>Yes, during review of internal control audit plan is discussed.</w:t>
            </w:r>
          </w:p>
          <w:p w14:paraId="27E4622C" w14:textId="3EF3FA48" w:rsidR="009853EE" w:rsidRPr="00E82AA1" w:rsidRDefault="003D158C">
            <w:r>
              <w:t xml:space="preserve">Clerk and the majority of Cllrs have attended training </w:t>
            </w:r>
            <w:r w:rsidRPr="00AC2084">
              <w:rPr>
                <w:strike/>
                <w:highlight w:val="yellow"/>
              </w:rPr>
              <w:t>this year</w:t>
            </w:r>
            <w:r w:rsidR="00B70169" w:rsidRPr="00AC2084">
              <w:rPr>
                <w:strike/>
                <w:highlight w:val="yellow"/>
              </w:rPr>
              <w:t>.</w:t>
            </w:r>
          </w:p>
        </w:tc>
      </w:tr>
      <w:tr w:rsidR="009853EE" w:rsidRPr="00E82AA1" w14:paraId="69691111" w14:textId="77777777" w:rsidTr="00CF1BB0">
        <w:tc>
          <w:tcPr>
            <w:tcW w:w="4112" w:type="dxa"/>
          </w:tcPr>
          <w:p w14:paraId="5DE76F44" w14:textId="77777777" w:rsidR="009853EE" w:rsidRPr="00E82AA1" w:rsidRDefault="00401370" w:rsidP="00401370">
            <w:pPr>
              <w:pStyle w:val="ListParagraph"/>
              <w:numPr>
                <w:ilvl w:val="0"/>
                <w:numId w:val="1"/>
              </w:numPr>
              <w:ind w:left="454" w:hanging="425"/>
            </w:pPr>
            <w:r w:rsidRPr="00E82AA1">
              <w:t>Audit Planning and reporting</w:t>
            </w:r>
          </w:p>
        </w:tc>
        <w:tc>
          <w:tcPr>
            <w:tcW w:w="3511" w:type="dxa"/>
          </w:tcPr>
          <w:p w14:paraId="460A842D" w14:textId="3651145B" w:rsidR="00401370" w:rsidRPr="00E82AA1" w:rsidRDefault="003D4AEC">
            <w:r w:rsidRPr="00E82AA1">
              <w:t xml:space="preserve">The audit is a feature of a wider plan with regards to internal control. Policy and procedural reviews and </w:t>
            </w:r>
          </w:p>
          <w:p w14:paraId="455D78B5" w14:textId="5F86BE59" w:rsidR="003D4AEC" w:rsidRPr="00E82AA1" w:rsidRDefault="003D4AEC">
            <w:r w:rsidRPr="00E82AA1">
              <w:t>Monthly reports and strong internal control procedures embed this approach within NMPC.</w:t>
            </w:r>
          </w:p>
        </w:tc>
        <w:tc>
          <w:tcPr>
            <w:tcW w:w="3293" w:type="dxa"/>
          </w:tcPr>
          <w:p w14:paraId="75BC24F0" w14:textId="069B5AA4" w:rsidR="009853EE" w:rsidRPr="00205059" w:rsidRDefault="00B70169">
            <w:pPr>
              <w:rPr>
                <w:strike/>
              </w:rPr>
            </w:pPr>
            <w:r w:rsidRPr="00E82AA1">
              <w:t xml:space="preserve">An annual audit plan is </w:t>
            </w:r>
            <w:r w:rsidR="00993A08">
              <w:t xml:space="preserve">now in place </w:t>
            </w:r>
            <w:r w:rsidR="00993A08" w:rsidRPr="00205059">
              <w:rPr>
                <w:strike/>
              </w:rPr>
              <w:t>(agreed with internal control policy at December meeting)</w:t>
            </w:r>
          </w:p>
          <w:p w14:paraId="10F107BE" w14:textId="5260A490" w:rsidR="003D158C" w:rsidRPr="00E82AA1" w:rsidRDefault="003D158C">
            <w:r>
              <w:t>The review of Internal control is now in place (December 20</w:t>
            </w:r>
            <w:r w:rsidR="00ED730F">
              <w:t>19</w:t>
            </w:r>
            <w:r>
              <w:t>)</w:t>
            </w:r>
          </w:p>
          <w:p w14:paraId="2DEC9DA8" w14:textId="695B7481" w:rsidR="00B70169" w:rsidRPr="00E82AA1" w:rsidRDefault="00B70169">
            <w:r w:rsidRPr="00604BE0">
              <w:rPr>
                <w:strike/>
                <w:highlight w:val="yellow"/>
              </w:rPr>
              <w:t>With a new Clerk/ RFO in place</w:t>
            </w:r>
            <w:r w:rsidRPr="00E82AA1">
              <w:t xml:space="preserve"> a rolling programme of policy, procedural and risk assessment reviews is being undertaken to ensure that the policies and procedures adopted are compliant and current.</w:t>
            </w:r>
          </w:p>
        </w:tc>
      </w:tr>
      <w:tr w:rsidR="003D158C" w:rsidRPr="00E82AA1" w14:paraId="32434729" w14:textId="77777777" w:rsidTr="003D158C">
        <w:tc>
          <w:tcPr>
            <w:tcW w:w="10916" w:type="dxa"/>
            <w:gridSpan w:val="3"/>
            <w:shd w:val="clear" w:color="auto" w:fill="E7E6E6" w:themeFill="background2"/>
          </w:tcPr>
          <w:p w14:paraId="498FF1FD" w14:textId="237FD54D" w:rsidR="003D158C" w:rsidRPr="00E82AA1" w:rsidRDefault="003D158C">
            <w:r w:rsidRPr="00E82AA1">
              <w:rPr>
                <w:b/>
              </w:rPr>
              <w:t>Characteristics of Effectiveness</w:t>
            </w:r>
          </w:p>
        </w:tc>
      </w:tr>
      <w:tr w:rsidR="007E7490" w:rsidRPr="00E82AA1" w14:paraId="354A1256" w14:textId="77777777" w:rsidTr="00CF1BB0">
        <w:tc>
          <w:tcPr>
            <w:tcW w:w="4112" w:type="dxa"/>
          </w:tcPr>
          <w:p w14:paraId="4D5E34DD" w14:textId="27787987" w:rsidR="007E7490" w:rsidRPr="00E82AA1" w:rsidRDefault="007E7490" w:rsidP="007E7490">
            <w:r w:rsidRPr="003D158C">
              <w:rPr>
                <w:b/>
              </w:rPr>
              <w:t>Expected Standard</w:t>
            </w:r>
          </w:p>
        </w:tc>
        <w:tc>
          <w:tcPr>
            <w:tcW w:w="3511" w:type="dxa"/>
          </w:tcPr>
          <w:p w14:paraId="321ECE30" w14:textId="53DAF773" w:rsidR="007E7490" w:rsidRPr="00E82AA1" w:rsidRDefault="007E7490" w:rsidP="007E7490">
            <w:r w:rsidRPr="003D158C">
              <w:rPr>
                <w:b/>
              </w:rPr>
              <w:t>Evidence of Achievement</w:t>
            </w:r>
          </w:p>
        </w:tc>
        <w:tc>
          <w:tcPr>
            <w:tcW w:w="3293" w:type="dxa"/>
          </w:tcPr>
          <w:p w14:paraId="62D8E15A" w14:textId="1253D497" w:rsidR="007E7490" w:rsidRDefault="007E7490" w:rsidP="007E7490">
            <w:r w:rsidRPr="003D158C">
              <w:rPr>
                <w:b/>
              </w:rPr>
              <w:t>Is this standard achieved/needs</w:t>
            </w:r>
          </w:p>
        </w:tc>
      </w:tr>
      <w:tr w:rsidR="007E7490" w:rsidRPr="00E82AA1" w14:paraId="665ACC37" w14:textId="77777777" w:rsidTr="00CF1BB0">
        <w:tc>
          <w:tcPr>
            <w:tcW w:w="4112" w:type="dxa"/>
          </w:tcPr>
          <w:p w14:paraId="5A0DB7F9" w14:textId="77777777" w:rsidR="007E7490" w:rsidRPr="00E82AA1" w:rsidRDefault="007E7490" w:rsidP="007E7490">
            <w:r w:rsidRPr="00E82AA1">
              <w:t>Internal audit work is planned</w:t>
            </w:r>
          </w:p>
        </w:tc>
        <w:tc>
          <w:tcPr>
            <w:tcW w:w="3511" w:type="dxa"/>
          </w:tcPr>
          <w:p w14:paraId="5B57C19E" w14:textId="77777777" w:rsidR="007E7490" w:rsidRPr="00E82AA1" w:rsidRDefault="007E7490" w:rsidP="007E7490">
            <w:r w:rsidRPr="00E82AA1">
              <w:t>Planned internal audit work is based on risk assessment and designed to meet the body’s governance assurance needs.</w:t>
            </w:r>
          </w:p>
        </w:tc>
        <w:tc>
          <w:tcPr>
            <w:tcW w:w="3293" w:type="dxa"/>
          </w:tcPr>
          <w:p w14:paraId="50ABB565" w14:textId="140BA6F2" w:rsidR="007E7490" w:rsidRPr="00E82AA1" w:rsidRDefault="00DE7E85" w:rsidP="007E7490">
            <w:r>
              <w:t>Y</w:t>
            </w:r>
            <w:r w:rsidR="007E7490">
              <w:t>es</w:t>
            </w:r>
            <w:r>
              <w:t xml:space="preserve"> plan in place and terms of reference/ letter of engagement to be agreed by council.</w:t>
            </w:r>
          </w:p>
        </w:tc>
      </w:tr>
      <w:tr w:rsidR="007E7490" w:rsidRPr="00E82AA1" w14:paraId="7ACFA70D" w14:textId="77777777" w:rsidTr="00CF1BB0">
        <w:tc>
          <w:tcPr>
            <w:tcW w:w="4112" w:type="dxa"/>
          </w:tcPr>
          <w:p w14:paraId="445942BB" w14:textId="77777777" w:rsidR="007E7490" w:rsidRPr="00E82AA1" w:rsidRDefault="007E7490" w:rsidP="007E7490">
            <w:r w:rsidRPr="00E82AA1">
              <w:t>Understanding the whole organisation its needs and objectives</w:t>
            </w:r>
          </w:p>
        </w:tc>
        <w:tc>
          <w:tcPr>
            <w:tcW w:w="3511" w:type="dxa"/>
          </w:tcPr>
          <w:p w14:paraId="2F61D73A" w14:textId="7C50362F" w:rsidR="007E7490" w:rsidRPr="00E82AA1" w:rsidRDefault="007E7490" w:rsidP="007E7490">
            <w:r w:rsidRPr="00E82AA1">
              <w:t>The annual review demonstrates how audit work will provide assurance in relation to the body’s annual governance statement.</w:t>
            </w:r>
          </w:p>
        </w:tc>
        <w:tc>
          <w:tcPr>
            <w:tcW w:w="3293" w:type="dxa"/>
          </w:tcPr>
          <w:p w14:paraId="578A96FF" w14:textId="4CF5D121" w:rsidR="007E7490" w:rsidRPr="00E82AA1" w:rsidRDefault="007E7490" w:rsidP="007E7490">
            <w:r>
              <w:t>yes</w:t>
            </w:r>
          </w:p>
        </w:tc>
      </w:tr>
      <w:tr w:rsidR="007E7490" w:rsidRPr="00E82AA1" w14:paraId="3CFB7B43" w14:textId="77777777" w:rsidTr="00CF1BB0">
        <w:tc>
          <w:tcPr>
            <w:tcW w:w="4112" w:type="dxa"/>
          </w:tcPr>
          <w:p w14:paraId="0B488594" w14:textId="77777777" w:rsidR="007E7490" w:rsidRPr="00E82AA1" w:rsidRDefault="007E7490" w:rsidP="007E7490">
            <w:r w:rsidRPr="00E82AA1">
              <w:t>Be seen as a catalyst for change</w:t>
            </w:r>
          </w:p>
        </w:tc>
        <w:tc>
          <w:tcPr>
            <w:tcW w:w="3511" w:type="dxa"/>
          </w:tcPr>
          <w:p w14:paraId="783928F2" w14:textId="77777777" w:rsidR="007E7490" w:rsidRPr="00E82AA1" w:rsidRDefault="007E7490" w:rsidP="007E7490">
            <w:r w:rsidRPr="00E82AA1">
              <w:t>Supportive role of audit for corporate developments such as corporate governance review, risk management and ethics.</w:t>
            </w:r>
          </w:p>
        </w:tc>
        <w:tc>
          <w:tcPr>
            <w:tcW w:w="3293" w:type="dxa"/>
          </w:tcPr>
          <w:p w14:paraId="43E4D63B" w14:textId="690DA8EE" w:rsidR="007E7490" w:rsidRPr="00E82AA1" w:rsidRDefault="007E7490" w:rsidP="007E7490">
            <w:r>
              <w:t>yes</w:t>
            </w:r>
          </w:p>
        </w:tc>
      </w:tr>
      <w:tr w:rsidR="007E7490" w:rsidRPr="00E82AA1" w14:paraId="53A5EBE2" w14:textId="77777777" w:rsidTr="00CF1BB0">
        <w:tc>
          <w:tcPr>
            <w:tcW w:w="4112" w:type="dxa"/>
          </w:tcPr>
          <w:p w14:paraId="16B48D6A" w14:textId="77777777" w:rsidR="007E7490" w:rsidRPr="00E82AA1" w:rsidRDefault="007E7490" w:rsidP="007E7490">
            <w:r w:rsidRPr="00E82AA1">
              <w:t>Add value and assist the organisation in achieving its objectives</w:t>
            </w:r>
          </w:p>
        </w:tc>
        <w:tc>
          <w:tcPr>
            <w:tcW w:w="3511" w:type="dxa"/>
          </w:tcPr>
          <w:p w14:paraId="27A1C758" w14:textId="1C13D8F9" w:rsidR="007E7490" w:rsidRPr="00E82AA1" w:rsidRDefault="007E7490" w:rsidP="007E7490">
            <w:r w:rsidRPr="00E82AA1">
              <w:t>Demonstrated through positive management responses to recommendations and follow up action where called for.</w:t>
            </w:r>
          </w:p>
        </w:tc>
        <w:tc>
          <w:tcPr>
            <w:tcW w:w="3293" w:type="dxa"/>
          </w:tcPr>
          <w:p w14:paraId="0469386A" w14:textId="1E940E9A" w:rsidR="007E7490" w:rsidRPr="00E82AA1" w:rsidRDefault="007E7490" w:rsidP="007E7490">
            <w:r>
              <w:t>Yes</w:t>
            </w:r>
            <w:r w:rsidR="00604BE0">
              <w:t xml:space="preserve"> </w:t>
            </w:r>
            <w:r>
              <w:t>.</w:t>
            </w:r>
            <w:r w:rsidR="00BD7FA3">
              <w:t xml:space="preserve">Copy of report with the </w:t>
            </w:r>
            <w:r w:rsidR="00130024">
              <w:t>recommendations</w:t>
            </w:r>
            <w:r w:rsidR="00BD7FA3">
              <w:t xml:space="preserve"> to be circulated once re</w:t>
            </w:r>
            <w:r w:rsidR="00604BE0">
              <w:t xml:space="preserve">ceived </w:t>
            </w:r>
            <w:r w:rsidR="00BD7FA3">
              <w:t xml:space="preserve"> and council to be update</w:t>
            </w:r>
            <w:r w:rsidR="00604BE0">
              <w:t>d</w:t>
            </w:r>
            <w:r w:rsidR="00BD7FA3">
              <w:t xml:space="preserve"> </w:t>
            </w:r>
            <w:r w:rsidR="00130024">
              <w:t>in full prior to next audit being instructed.</w:t>
            </w:r>
          </w:p>
        </w:tc>
      </w:tr>
      <w:tr w:rsidR="007E7490" w:rsidRPr="00E82AA1" w14:paraId="51746F19" w14:textId="77777777" w:rsidTr="00CF1BB0">
        <w:tc>
          <w:tcPr>
            <w:tcW w:w="4112" w:type="dxa"/>
          </w:tcPr>
          <w:p w14:paraId="1F5731D8" w14:textId="6A6AF42F" w:rsidR="007E7490" w:rsidRPr="00E82AA1" w:rsidRDefault="007E7490" w:rsidP="007E7490">
            <w:r w:rsidRPr="00E82AA1">
              <w:t>Be forward looking</w:t>
            </w:r>
          </w:p>
        </w:tc>
        <w:tc>
          <w:tcPr>
            <w:tcW w:w="3511" w:type="dxa"/>
          </w:tcPr>
          <w:p w14:paraId="6F1FDECB" w14:textId="589B7E77" w:rsidR="007E7490" w:rsidRPr="00E82AA1" w:rsidRDefault="007E7490" w:rsidP="007E7490">
            <w:r w:rsidRPr="00E82AA1">
              <w:t>When identifying risks and in formulating the annual internal control plan, changes on national agenda are considered. Internal audit maintains awareness of new developments in the services, risk management and corporate governance.</w:t>
            </w:r>
          </w:p>
        </w:tc>
        <w:tc>
          <w:tcPr>
            <w:tcW w:w="3293" w:type="dxa"/>
          </w:tcPr>
          <w:p w14:paraId="34B2FBD8" w14:textId="4A13759A" w:rsidR="007E7490" w:rsidRPr="00E82AA1" w:rsidRDefault="007E7490" w:rsidP="007E7490">
            <w:r>
              <w:t>Yes, Clerk regularly receives updates from advisory services regarding changes to procedural templates or regulations.</w:t>
            </w:r>
          </w:p>
        </w:tc>
      </w:tr>
      <w:tr w:rsidR="007E7490" w:rsidRPr="00E82AA1" w14:paraId="6AAE65D4" w14:textId="77777777" w:rsidTr="00CF1BB0">
        <w:tc>
          <w:tcPr>
            <w:tcW w:w="4112" w:type="dxa"/>
          </w:tcPr>
          <w:p w14:paraId="01D41FDC" w14:textId="02739F36" w:rsidR="007E7490" w:rsidRPr="00E82AA1" w:rsidRDefault="007E7490" w:rsidP="007E7490">
            <w:r w:rsidRPr="00E82AA1">
              <w:t>Be challenging</w:t>
            </w:r>
          </w:p>
        </w:tc>
        <w:tc>
          <w:tcPr>
            <w:tcW w:w="3511" w:type="dxa"/>
          </w:tcPr>
          <w:p w14:paraId="41D6DF6A" w14:textId="55295E63" w:rsidR="007E7490" w:rsidRPr="00E82AA1" w:rsidRDefault="007E7490" w:rsidP="007E7490">
            <w:r w:rsidRPr="00E82AA1">
              <w:t>Internal audit focuses on risks and encourages members to develop their own responses to risks, rather than relying solely on audit recommendations. The aim of this is to encourage greater ownership of control environment.</w:t>
            </w:r>
          </w:p>
        </w:tc>
        <w:tc>
          <w:tcPr>
            <w:tcW w:w="3293" w:type="dxa"/>
          </w:tcPr>
          <w:p w14:paraId="6B45AA97" w14:textId="6FF50CD5" w:rsidR="007E7490" w:rsidRPr="00E82AA1" w:rsidRDefault="007E7490" w:rsidP="007E7490">
            <w:r>
              <w:t>yes</w:t>
            </w:r>
          </w:p>
        </w:tc>
      </w:tr>
      <w:tr w:rsidR="007E7490" w:rsidRPr="00E82AA1" w14:paraId="417627BF" w14:textId="77777777" w:rsidTr="00CF1BB0">
        <w:tc>
          <w:tcPr>
            <w:tcW w:w="4112" w:type="dxa"/>
          </w:tcPr>
          <w:p w14:paraId="0F294B0D" w14:textId="2F16DFEC" w:rsidR="007E7490" w:rsidRPr="00E82AA1" w:rsidRDefault="007E7490" w:rsidP="007E7490">
            <w:r w:rsidRPr="00E82AA1">
              <w:lastRenderedPageBreak/>
              <w:t>Ensure the right resources are available</w:t>
            </w:r>
          </w:p>
        </w:tc>
        <w:tc>
          <w:tcPr>
            <w:tcW w:w="3511" w:type="dxa"/>
          </w:tcPr>
          <w:p w14:paraId="1B99200D" w14:textId="0990A50F" w:rsidR="007E7490" w:rsidRPr="00E82AA1" w:rsidRDefault="007E7490" w:rsidP="007E7490">
            <w:r w:rsidRPr="00E82AA1">
              <w:t>Adequate resource is made available for internal audit to complete its work.</w:t>
            </w:r>
          </w:p>
          <w:p w14:paraId="3E30E75F" w14:textId="36B0A3FF" w:rsidR="007E7490" w:rsidRPr="00E82AA1" w:rsidRDefault="007E7490" w:rsidP="007E7490">
            <w:r w:rsidRPr="00E82AA1">
              <w:t>Internal auditor understands the body and the legal and corporate framework in which it operates.</w:t>
            </w:r>
          </w:p>
        </w:tc>
        <w:tc>
          <w:tcPr>
            <w:tcW w:w="3293" w:type="dxa"/>
          </w:tcPr>
          <w:p w14:paraId="6EDB09C2" w14:textId="732FA9E9" w:rsidR="007E7490" w:rsidRDefault="007E7490" w:rsidP="007E7490">
            <w:r w:rsidRPr="002902EB">
              <w:rPr>
                <w:strike/>
                <w:highlight w:val="yellow"/>
              </w:rPr>
              <w:t>Last year a much more detailed audit took place as the clerk was new in post with no handover.</w:t>
            </w:r>
            <w:r>
              <w:t xml:space="preserve"> Rigorous systems have now been implemented in line with </w:t>
            </w:r>
            <w:r w:rsidR="00205059">
              <w:t>auditors’</w:t>
            </w:r>
            <w:r>
              <w:t xml:space="preserve"> recommendations</w:t>
            </w:r>
            <w:r w:rsidR="00442A1A">
              <w:t xml:space="preserve">. </w:t>
            </w:r>
            <w:r w:rsidR="00442A1A" w:rsidRPr="00205059">
              <w:rPr>
                <w:strike/>
                <w:highlight w:val="yellow"/>
              </w:rPr>
              <w:t>These systems will be reviewed in light of any finding from this year’s audit.</w:t>
            </w:r>
          </w:p>
          <w:p w14:paraId="75290372" w14:textId="24C3BCFB" w:rsidR="002902EB" w:rsidRPr="00E82AA1" w:rsidRDefault="00871B2E" w:rsidP="007E7490">
            <w:r w:rsidRPr="00871B2E">
              <w:rPr>
                <w:highlight w:val="yellow"/>
              </w:rPr>
              <w:t xml:space="preserve">Parish specific accounting package </w:t>
            </w:r>
            <w:r>
              <w:rPr>
                <w:highlight w:val="yellow"/>
              </w:rPr>
              <w:t xml:space="preserve">purchased </w:t>
            </w:r>
            <w:r w:rsidRPr="00871B2E">
              <w:rPr>
                <w:highlight w:val="yellow"/>
              </w:rPr>
              <w:t xml:space="preserve"> April 2020.</w:t>
            </w:r>
          </w:p>
        </w:tc>
      </w:tr>
    </w:tbl>
    <w:p w14:paraId="6BF170D1" w14:textId="77777777" w:rsidR="00B95620" w:rsidRPr="00442A1A" w:rsidRDefault="00B95620" w:rsidP="00B95620">
      <w:pPr>
        <w:rPr>
          <w:highlight w:val="yellow"/>
        </w:rPr>
      </w:pPr>
    </w:p>
    <w:p w14:paraId="7AD705EB" w14:textId="326CEDFE" w:rsidR="000027B8" w:rsidRDefault="000027B8"/>
    <w:sectPr w:rsidR="000027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C05A1" w14:textId="77777777" w:rsidR="0012500A" w:rsidRDefault="0012500A" w:rsidP="009853EE">
      <w:pPr>
        <w:spacing w:after="0" w:line="240" w:lineRule="auto"/>
      </w:pPr>
      <w:r>
        <w:separator/>
      </w:r>
    </w:p>
  </w:endnote>
  <w:endnote w:type="continuationSeparator" w:id="0">
    <w:p w14:paraId="05B7CB00" w14:textId="77777777" w:rsidR="0012500A" w:rsidRDefault="0012500A" w:rsidP="0098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16DF5" w14:textId="77777777" w:rsidR="0012500A" w:rsidRDefault="0012500A" w:rsidP="009853EE">
      <w:pPr>
        <w:spacing w:after="0" w:line="240" w:lineRule="auto"/>
      </w:pPr>
      <w:r>
        <w:separator/>
      </w:r>
    </w:p>
  </w:footnote>
  <w:footnote w:type="continuationSeparator" w:id="0">
    <w:p w14:paraId="4DB11C7F" w14:textId="77777777" w:rsidR="0012500A" w:rsidRDefault="0012500A" w:rsidP="00985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E1D73"/>
    <w:multiLevelType w:val="hybridMultilevel"/>
    <w:tmpl w:val="9ED83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3EE"/>
    <w:rsid w:val="000027B8"/>
    <w:rsid w:val="0012500A"/>
    <w:rsid w:val="00130024"/>
    <w:rsid w:val="00205059"/>
    <w:rsid w:val="002902EB"/>
    <w:rsid w:val="002F2A8D"/>
    <w:rsid w:val="00345A95"/>
    <w:rsid w:val="00355B3B"/>
    <w:rsid w:val="00391823"/>
    <w:rsid w:val="003D158C"/>
    <w:rsid w:val="003D4AEC"/>
    <w:rsid w:val="00401370"/>
    <w:rsid w:val="00442A1A"/>
    <w:rsid w:val="00470087"/>
    <w:rsid w:val="004A2E6F"/>
    <w:rsid w:val="004C6B5D"/>
    <w:rsid w:val="00585720"/>
    <w:rsid w:val="00604BE0"/>
    <w:rsid w:val="006225D1"/>
    <w:rsid w:val="00682ABD"/>
    <w:rsid w:val="006F4D37"/>
    <w:rsid w:val="007051B7"/>
    <w:rsid w:val="00710CEC"/>
    <w:rsid w:val="00724D95"/>
    <w:rsid w:val="007A79DD"/>
    <w:rsid w:val="007E7490"/>
    <w:rsid w:val="008657F3"/>
    <w:rsid w:val="0087002B"/>
    <w:rsid w:val="00871B2E"/>
    <w:rsid w:val="008C3536"/>
    <w:rsid w:val="0096593B"/>
    <w:rsid w:val="0097476F"/>
    <w:rsid w:val="0098476E"/>
    <w:rsid w:val="009853EE"/>
    <w:rsid w:val="00993A08"/>
    <w:rsid w:val="009D5F6F"/>
    <w:rsid w:val="00A069DC"/>
    <w:rsid w:val="00A521FE"/>
    <w:rsid w:val="00AB5417"/>
    <w:rsid w:val="00AC2084"/>
    <w:rsid w:val="00B46D4A"/>
    <w:rsid w:val="00B70169"/>
    <w:rsid w:val="00B95620"/>
    <w:rsid w:val="00BA04E9"/>
    <w:rsid w:val="00BD7FA3"/>
    <w:rsid w:val="00C4261D"/>
    <w:rsid w:val="00CD6DE4"/>
    <w:rsid w:val="00CF1BB0"/>
    <w:rsid w:val="00CF2779"/>
    <w:rsid w:val="00D909CC"/>
    <w:rsid w:val="00D93B8F"/>
    <w:rsid w:val="00D9536E"/>
    <w:rsid w:val="00DE7E85"/>
    <w:rsid w:val="00E17CA6"/>
    <w:rsid w:val="00E741D6"/>
    <w:rsid w:val="00E82AA1"/>
    <w:rsid w:val="00EC78A7"/>
    <w:rsid w:val="00ED730F"/>
    <w:rsid w:val="00EE19EE"/>
    <w:rsid w:val="00FE7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5A903"/>
  <w15:chartTrackingRefBased/>
  <w15:docId w15:val="{6A34152E-9FE8-4599-81E5-AE2CFDAB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5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5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3EE"/>
  </w:style>
  <w:style w:type="paragraph" w:styleId="Footer">
    <w:name w:val="footer"/>
    <w:basedOn w:val="Normal"/>
    <w:link w:val="FooterChar"/>
    <w:uiPriority w:val="99"/>
    <w:unhideWhenUsed/>
    <w:rsid w:val="00985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3EE"/>
  </w:style>
  <w:style w:type="paragraph" w:styleId="ListParagraph">
    <w:name w:val="List Paragraph"/>
    <w:basedOn w:val="Normal"/>
    <w:uiPriority w:val="34"/>
    <w:qFormat/>
    <w:rsid w:val="009853EE"/>
    <w:pPr>
      <w:ind w:left="720"/>
      <w:contextualSpacing/>
    </w:pPr>
  </w:style>
  <w:style w:type="paragraph" w:styleId="BalloonText">
    <w:name w:val="Balloon Text"/>
    <w:basedOn w:val="Normal"/>
    <w:link w:val="BalloonTextChar"/>
    <w:uiPriority w:val="99"/>
    <w:semiHidden/>
    <w:unhideWhenUsed/>
    <w:rsid w:val="002F2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A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0" ma:contentTypeDescription="Create a new document." ma:contentTypeScope="" ma:versionID="3bd6c14d3dba08402a3b5f2a21337ef2">
  <xsd:schema xmlns:xsd="http://www.w3.org/2001/XMLSchema" xmlns:xs="http://www.w3.org/2001/XMLSchema" xmlns:p="http://schemas.microsoft.com/office/2006/metadata/properties" xmlns:ns2="ca27f8c3-16d8-4391-8356-02d48a5afad6" targetNamespace="http://schemas.microsoft.com/office/2006/metadata/properties" ma:root="true" ma:fieldsID="4e8d0dd8dc739cf6fbce3ebfcaf83ad3" ns2:_="">
    <xsd:import namespace="ca27f8c3-16d8-4391-8356-02d48a5af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CBB17-0E60-43B8-BA5F-F728C8173C62}">
  <ds:schemaRefs>
    <ds:schemaRef ds:uri="http://schemas.microsoft.com/sharepoint/v3/contenttype/forms"/>
  </ds:schemaRefs>
</ds:datastoreItem>
</file>

<file path=customXml/itemProps2.xml><?xml version="1.0" encoding="utf-8"?>
<ds:datastoreItem xmlns:ds="http://schemas.openxmlformats.org/officeDocument/2006/customXml" ds:itemID="{12DB8620-7509-4385-B5C5-BF6DC9C2BA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2C71A3-8BB4-46A0-BCD2-A202B8A3F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Review of Effectiveness of Internal Audit and Auditor</vt:lpstr>
    </vt:vector>
  </TitlesOfParts>
  <Company>Nash Mills Parish Council</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Effectiveness of Internal Audit and Auditor</dc:title>
  <dc:subject/>
  <dc:creator/>
  <cp:keywords/>
  <dc:description/>
  <cp:lastModifiedBy>Clerk NMPC</cp:lastModifiedBy>
  <cp:revision>8</cp:revision>
  <cp:lastPrinted>2020-10-26T16:24:00Z</cp:lastPrinted>
  <dcterms:created xsi:type="dcterms:W3CDTF">2020-10-26T16:23:00Z</dcterms:created>
  <dcterms:modified xsi:type="dcterms:W3CDTF">2020-10-26T19:46:00Z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ies>
</file>